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101__20"/>
      <w:bookmarkEnd w:id="2"/>
      <w:r>
        <w:rPr>
          <w:rFonts w:ascii="Times New Roman;Times;Serif" w:hAnsi="Times New Roman;Times;Serif"/>
          <w:b/>
          <w:i w:val="false"/>
          <w:caps w:val="false"/>
          <w:smallCaps w:val="false"/>
          <w:sz w:val="36"/>
        </w:rPr>
        <w:t>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6_edei--EntityRegistrantName_c2026"/>
      <w:bookmarkEnd w:id="3"/>
      <w:r>
        <w:rPr>
          <w:rFonts w:ascii="Times New Roman;Times;Serif" w:hAnsi="Times New Roman;Times;Serif"/>
          <w:b/>
          <w:i w:val="false"/>
          <w:caps w:val="false"/>
          <w:smallCaps w:val="false"/>
          <w:sz w:val="36"/>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038989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 Announces Unaudited Interim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 (the “Company”) (Nasdaq: UFG) today announced its unaudited financial results for the six months ended June 30, 2026. A copy of the press release relating to the above matter is set forth in Exhibit 99.2, which is being furnished 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Dollars, except for the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48"/>
        <w:gridCol w:w="60"/>
        <w:gridCol w:w="140"/>
        <w:gridCol w:w="1102"/>
        <w:gridCol w:w="95"/>
        <w:gridCol w:w="60"/>
        <w:gridCol w:w="145"/>
        <w:gridCol w:w="1143"/>
        <w:gridCol w:w="112"/>
      </w:tblGrid>
      <w:tr>
        <w:trPr/>
        <w:tc>
          <w:tcPr>
            <w:tcW w:w="7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7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(Audited)</w:t>
            </w:r>
          </w:p>
        </w:tc>
        <w:tc>
          <w:tcPr>
            <w:tcW w:w="112" w:type="dxa"/>
            <w:tcBorders/>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12,185,940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12,542,539</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31,215,233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26,255,689</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Prepayments and other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446,556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316,051</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43,847,729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39,114,279</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374,197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284,961</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1,048,599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79,614</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Prepayments and other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1,486</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13,810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1,436,606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366,061</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pPr>
            <w:r>
              <w:rPr/>
              <w:t>45,284,335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pPr>
            <w:r>
              <w:rPr/>
              <w:t>39,480,340</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2" w:type="dxa"/>
            <w:tcBorders/>
            <w:shd w:fill="FFFFFF" w:val="clear"/>
            <w:vAlign w:val="center"/>
          </w:tcPr>
          <w:p>
            <w:pPr>
              <w:pStyle w:val="TableContents"/>
              <w:bidi w:val="0"/>
              <w:spacing w:before="0" w:after="283"/>
              <w:jc w:val="right"/>
              <w:rPr/>
            </w:pPr>
            <w:r>
              <w:rPr/>
              <w:t>27,059,792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143" w:type="dxa"/>
            <w:tcBorders/>
            <w:shd w:fill="FFFFFF" w:val="clear"/>
            <w:vAlign w:val="center"/>
          </w:tcPr>
          <w:p>
            <w:pPr>
              <w:pStyle w:val="TableContents"/>
              <w:bidi w:val="0"/>
              <w:spacing w:before="0" w:after="283"/>
              <w:jc w:val="right"/>
              <w:rPr/>
            </w:pPr>
            <w:r>
              <w:rPr/>
              <w:t>23,297,982</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Short-term bank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4,388,443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4,215,217</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Income tax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556,676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162,212</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359,353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78,281</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347,281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1,215,216</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32,711,545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28,968,908</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689,740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6,321</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2,345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2,345</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692,085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8,666</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33,403,630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28,977,574</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Class A ordinary shares (US$0.0001 par value, 4,500,000,000 shares and 450,000,000 shares authorized as of June 30, 2026 and December 31, 2025; 9,815,000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982</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Class B ordinary shares (US$0.0001 par value, 500,000,000 shares and 50,000,000 shares authorized as of June 30, 2026 and December 31, 2025; 22,650,000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2,265</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11,706,110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11,706,110</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(913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(648</w:t>
            </w:r>
          </w:p>
        </w:tc>
        <w:tc>
          <w:tcPr>
            <w:tcW w:w="112" w:type="dxa"/>
            <w:tcBorders/>
            <w:shd w:fill="CCEEFF" w:val="clear"/>
            <w:vAlign w:val="center"/>
          </w:tcPr>
          <w:p>
            <w:pPr>
              <w:pStyle w:val="TableContents"/>
              <w:bidi w:val="0"/>
              <w:spacing w:before="0" w:after="283"/>
              <w:jc w:val="left"/>
              <w:rPr/>
            </w:pPr>
            <w:r>
              <w:rPr/>
              <w:t>)</w:t>
            </w:r>
          </w:p>
        </w:tc>
      </w:tr>
      <w:tr>
        <w:trPr/>
        <w:tc>
          <w:tcPr>
            <w:tcW w:w="7348"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172,261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(1,205,943</w:t>
            </w:r>
          </w:p>
        </w:tc>
        <w:tc>
          <w:tcPr>
            <w:tcW w:w="112" w:type="dxa"/>
            <w:tcBorders/>
            <w:shd w:fill="FFFFFF" w:val="clear"/>
            <w:vAlign w:val="center"/>
          </w:tcPr>
          <w:p>
            <w:pPr>
              <w:pStyle w:val="TableContents"/>
              <w:bidi w:val="0"/>
              <w:spacing w:before="0" w:after="283"/>
              <w:jc w:val="left"/>
              <w:rPr/>
            </w:pPr>
            <w:r>
              <w:rPr/>
              <w:t>)</w:t>
            </w:r>
          </w:p>
        </w:tc>
      </w:tr>
      <w:tr>
        <w:trPr/>
        <w:tc>
          <w:tcPr>
            <w:tcW w:w="7348"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11,880,705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10,502,766</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pPr>
            <w:r>
              <w:rPr/>
              <w:t>45,284,335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pPr>
            <w:r>
              <w:rPr/>
              <w:t>39,480,340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Income and Comprehensive Income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 except for the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Sales of marine fuels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196,654,955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114,618,812</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Freight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Brokerage commissions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1,973</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197,109,755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114,620,785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(191,769,911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(112,551,139</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5,339,844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2,069,646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(288,913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(478,825</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(3,139,962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(1,406,391</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(3,428,875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(1,885,216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1,910,969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184,430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7,826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123,019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6,221</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14,047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Income before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1,891,413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198,477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(513,209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(107,490</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1,378,204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90,987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1,377,939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91,134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Class A ordinary shares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Class B ordinary shares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Weighted average shares outstanding used in calculating basic and diluted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Class A ordinary shares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9,815,000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9,543,398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Class B ordinary shares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22,650,000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22,650,000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that convertible to Class A ordinary were evaluated that conversion had no dilutive impact on Class A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quotations from management in this announcement, as well as the Company’s strategic and operational plans, contain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changes in political, social and economic conditions, the regulatory environment, laws and regulations and interpretation thereof in the jurisdictions where we conduct business or expect to conduct business , the risk that we may be unable to realize our anticipated growth strategies and expected internal growth, changes in the availability and cost of professional staff which we require to operate our business, changes in customers’ preferences and needs, changes in competitive conditions and our ability to compete under such conditions, changes in our future capital needs and the availability of financing and capital to fund such needs, changes in currency exchange rates or interest rates, projections of revenue, profits, earnings, capital structure and other financial items, changes in our plan to enter into certain new business sectors and other factors beyond our control and other risks contained in reports filed by the Company with the SEC. Further information regarding these and other risks is included in the Company’s filings with the SEC. All information provided in this report and in the attachments is as of the date of this report, and the Company undertakes no obligation to update any forward-looking statement, except as required under applicable law.</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360" w:right="0" w:hanging="0"/>
        <w:jc w:val="center"/>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030"/>
        <w:gridCol w:w="545"/>
        <w:gridCol w:w="195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36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360" w:right="0" w:hanging="0"/>
        <w:jc w:val="center"/>
        <w:rPr>
          <w:caps w:val="false"/>
          <w:smallCaps w:val="false"/>
        </w:rPr>
      </w:pPr>
      <w:r>
        <w:rPr>
          <w:caps w:val="false"/>
          <w:smallCaps w:val="false"/>
        </w:rPr>
        <w:t> </w:t>
      </w:r>
    </w:p>
    <w:tbl>
      <w:tblPr>
        <w:tblW w:w="5785" w:type="dxa"/>
        <w:jc w:val="left"/>
        <w:tblInd w:w="0" w:type="dxa"/>
        <w:tblLayout w:type="fixed"/>
        <w:tblCellMar>
          <w:top w:w="0" w:type="dxa"/>
          <w:left w:w="0" w:type="dxa"/>
          <w:bottom w:w="28" w:type="dxa"/>
          <w:right w:w="0" w:type="dxa"/>
        </w:tblCellMar>
      </w:tblPr>
      <w:tblGrid>
        <w:gridCol w:w="995"/>
        <w:gridCol w:w="60"/>
        <w:gridCol w:w="47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Unaudited Condensed Consolidated Financial Statements</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30" w:type="dxa"/>
            <w:tcBorders/>
            <w:tcMar>
              <w:bottom w:w="0" w:type="dxa"/>
            </w:tcMar>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Uni-Fuels Interim Earnings Release</w:t>
              </w:r>
            </w:hyperlink>
          </w:p>
        </w:tc>
      </w:tr>
    </w:tbl>
    <w:p>
      <w:pPr>
        <w:pStyle w:val="TextBody"/>
        <w:bidi w:val="0"/>
        <w:spacing w:before="0" w:after="0"/>
        <w:ind w:left="36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ex99-1.htm"/>
      <w:bookmarkStart w:id="5" w:name="ksex99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INDEX TO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75"/>
        <w:gridCol w:w="330"/>
      </w:tblGrid>
      <w:tr>
        <w:trPr/>
        <w:tc>
          <w:tcPr>
            <w:tcW w:w="9875"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Unaudited Condensed Consolidated Balance Sheets as of June 30, 2026 and December 31, 2025</w:t>
              </w:r>
            </w:hyperlink>
          </w:p>
        </w:tc>
        <w:tc>
          <w:tcPr>
            <w:tcW w:w="3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8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75"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Unaudited Condensed Consolidated Statements of Income and Comprehensive Income for the Six Months Ended June 30, 2026 and 2025</w:t>
              </w:r>
            </w:hyperlink>
          </w:p>
        </w:tc>
        <w:tc>
          <w:tcPr>
            <w:tcW w:w="3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8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75"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Unaudited Condensed Consolidated Statements of Changes in Shareholders’ Equity for the Six Months Ended June 30, 2026 and 2025</w:t>
              </w:r>
            </w:hyperlink>
          </w:p>
        </w:tc>
        <w:tc>
          <w:tcPr>
            <w:tcW w:w="3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8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75"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2026 and 2025</w:t>
              </w:r>
            </w:hyperlink>
          </w:p>
        </w:tc>
        <w:tc>
          <w:tcPr>
            <w:tcW w:w="3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8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875"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F-6 </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1"/>
      <w:bookmarkEnd w:id="6"/>
      <w:r>
        <w:rPr>
          <w:rFonts w:ascii="Times New Roman;Times;Serif" w:hAnsi="Times New Roman;Times;Serif"/>
          <w:b/>
          <w:i w:val="false"/>
          <w:caps w:val="false"/>
          <w:smallCaps w:val="false"/>
          <w:sz w:val="20"/>
        </w:rPr>
        <w:br/>
        <w:t>Unaudited 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Dollars, except for the number of shares)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xdx_30C_111_zfcGOBqUtVfl"/>
      <w:bookmarkStart w:id="8" w:name="xdx_30C_111_zfcGOBqUtVfl"/>
      <w:bookmarkEnd w:id="8"/>
    </w:p>
    <w:tbl>
      <w:tblPr>
        <w:tblW w:w="10205" w:type="dxa"/>
        <w:jc w:val="left"/>
        <w:tblInd w:w="0" w:type="dxa"/>
        <w:tblLayout w:type="fixed"/>
        <w:tblCellMar>
          <w:top w:w="0" w:type="dxa"/>
          <w:left w:w="0" w:type="dxa"/>
          <w:bottom w:w="0" w:type="dxa"/>
          <w:right w:w="0" w:type="dxa"/>
        </w:tblCellMar>
      </w:tblPr>
      <w:tblGrid>
        <w:gridCol w:w="7348"/>
        <w:gridCol w:w="60"/>
        <w:gridCol w:w="140"/>
        <w:gridCol w:w="1102"/>
        <w:gridCol w:w="95"/>
        <w:gridCol w:w="60"/>
        <w:gridCol w:w="145"/>
        <w:gridCol w:w="1143"/>
        <w:gridCol w:w="112"/>
      </w:tblGrid>
      <w:tr>
        <w:trPr/>
        <w:tc>
          <w:tcPr>
            <w:tcW w:w="7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 w:name="xdx_49F_20260630_zrR08XyUtq24"/>
            <w:bookmarkEnd w:id="9"/>
          </w:p>
        </w:tc>
        <w:tc>
          <w:tcPr>
            <w:tcW w:w="124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 w:name="xdx_493_20251231_z5h2ERaw5Pbi"/>
            <w:bookmarkEnd w:id="10"/>
          </w:p>
        </w:tc>
        <w:tc>
          <w:tcPr>
            <w:tcW w:w="1288"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7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8" w:type="dxa"/>
            <w:gridSpan w:val="2"/>
            <w:tcBorders/>
            <w:vAlign w:val="center"/>
          </w:tcPr>
          <w:p>
            <w:pPr>
              <w:pStyle w:val="TableContents"/>
              <w:bidi w:val="0"/>
              <w:spacing w:before="0" w:after="283"/>
              <w:jc w:val="center"/>
              <w:rPr>
                <w:b/>
              </w:rPr>
            </w:pPr>
            <w:r>
              <w:rPr>
                <w:b/>
              </w:rPr>
              <w:t>(Audited)</w:t>
            </w:r>
          </w:p>
        </w:tc>
        <w:tc>
          <w:tcPr>
            <w:tcW w:w="112" w:type="dxa"/>
            <w:tcBorders/>
            <w:vAlign w:val="center"/>
          </w:tcPr>
          <w:p>
            <w:pPr>
              <w:pStyle w:val="TableContents"/>
              <w:bidi w:val="0"/>
              <w:spacing w:before="0" w:after="283"/>
              <w:jc w:val="left"/>
              <w:rPr/>
            </w:pPr>
            <w:r>
              <w:rPr/>
              <w:t> </w:t>
            </w:r>
            <w:bookmarkStart w:id="11" w:name="xdx_40C_eus-gaap--AssetsAbstract_iB_zpv3"/>
            <w:bookmarkEnd w:id="11"/>
          </w:p>
        </w:tc>
      </w:tr>
      <w:tr>
        <w:trPr/>
        <w:tc>
          <w:tcPr>
            <w:tcW w:w="7348"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 w:name="xdx_40E_eus-gaap--AssetsCurrentAbstract_"/>
            <w:bookmarkEnd w:id="12"/>
          </w:p>
        </w:tc>
      </w:tr>
      <w:tr>
        <w:trPr/>
        <w:tc>
          <w:tcPr>
            <w:tcW w:w="7348"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3" w:name="xdx_407_eus-gaap--CashAndCashEquivalents"/>
            <w:bookmarkEnd w:id="13"/>
          </w:p>
        </w:tc>
      </w:tr>
      <w:tr>
        <w:trPr/>
        <w:tc>
          <w:tcPr>
            <w:tcW w:w="734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12,185,940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12,542,539</w:t>
            </w:r>
          </w:p>
        </w:tc>
        <w:tc>
          <w:tcPr>
            <w:tcW w:w="112" w:type="dxa"/>
            <w:tcBorders/>
            <w:shd w:fill="CCEEFF" w:val="clear"/>
            <w:vAlign w:val="center"/>
          </w:tcPr>
          <w:p>
            <w:pPr>
              <w:pStyle w:val="TableContents"/>
              <w:bidi w:val="0"/>
              <w:spacing w:before="0" w:after="283"/>
              <w:jc w:val="left"/>
              <w:rPr/>
            </w:pPr>
            <w:r>
              <w:rPr/>
              <w:t> </w:t>
            </w:r>
            <w:bookmarkStart w:id="14" w:name="xdx_40C_eus-gaap--AccountsReceivableNetC"/>
            <w:bookmarkEnd w:id="14"/>
          </w:p>
        </w:tc>
      </w:tr>
      <w:tr>
        <w:trPr/>
        <w:tc>
          <w:tcPr>
            <w:tcW w:w="734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31,215,233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26,255,689</w:t>
            </w:r>
          </w:p>
        </w:tc>
        <w:tc>
          <w:tcPr>
            <w:tcW w:w="112" w:type="dxa"/>
            <w:tcBorders/>
            <w:shd w:fill="FFFFFF" w:val="clear"/>
            <w:vAlign w:val="center"/>
          </w:tcPr>
          <w:p>
            <w:pPr>
              <w:pStyle w:val="TableContents"/>
              <w:bidi w:val="0"/>
              <w:spacing w:before="0" w:after="283"/>
              <w:jc w:val="left"/>
              <w:rPr/>
            </w:pPr>
            <w:r>
              <w:rPr/>
              <w:t> </w:t>
            </w:r>
            <w:bookmarkStart w:id="15" w:name="xdx_401_eus-gaap--PrepaidExpenseAndOther"/>
            <w:bookmarkEnd w:id="15"/>
          </w:p>
        </w:tc>
      </w:tr>
      <w:tr>
        <w:trPr/>
        <w:tc>
          <w:tcPr>
            <w:tcW w:w="7348" w:type="dxa"/>
            <w:tcBorders/>
            <w:shd w:fill="CCEEFF" w:val="clear"/>
            <w:vAlign w:val="center"/>
          </w:tcPr>
          <w:p>
            <w:pPr>
              <w:pStyle w:val="TableContents"/>
              <w:bidi w:val="0"/>
              <w:spacing w:before="0" w:after="283"/>
              <w:jc w:val="left"/>
              <w:rPr/>
            </w:pPr>
            <w:r>
              <w:rPr/>
              <w:t>Prepayments and other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446,556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316,051</w:t>
            </w:r>
          </w:p>
        </w:tc>
        <w:tc>
          <w:tcPr>
            <w:tcW w:w="112" w:type="dxa"/>
            <w:tcBorders/>
            <w:shd w:fill="CCEEFF" w:val="clear"/>
            <w:vAlign w:val="center"/>
          </w:tcPr>
          <w:p>
            <w:pPr>
              <w:pStyle w:val="TableContents"/>
              <w:bidi w:val="0"/>
              <w:spacing w:before="0" w:after="283"/>
              <w:jc w:val="left"/>
              <w:rPr/>
            </w:pPr>
            <w:r>
              <w:rPr/>
              <w:t> </w:t>
            </w:r>
            <w:bookmarkStart w:id="16" w:name="xdx_401_eus-gaap--AssetsCurrent_i02TI_mt"/>
            <w:bookmarkEnd w:id="16"/>
          </w:p>
        </w:tc>
      </w:tr>
      <w:tr>
        <w:trPr/>
        <w:tc>
          <w:tcPr>
            <w:tcW w:w="7348"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43,847,729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39,114,279</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 w:name="xdx_401_eus-gaap--AssetsNoncurrentAbstra"/>
            <w:bookmarkEnd w:id="17"/>
          </w:p>
        </w:tc>
      </w:tr>
      <w:tr>
        <w:trPr/>
        <w:tc>
          <w:tcPr>
            <w:tcW w:w="7348"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8" w:name="xdx_408_eus-gaap--PropertyPlantAndEquipm"/>
            <w:bookmarkEnd w:id="18"/>
          </w:p>
        </w:tc>
      </w:tr>
      <w:tr>
        <w:trPr/>
        <w:tc>
          <w:tcPr>
            <w:tcW w:w="734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374,197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284,961</w:t>
            </w:r>
          </w:p>
        </w:tc>
        <w:tc>
          <w:tcPr>
            <w:tcW w:w="112" w:type="dxa"/>
            <w:tcBorders/>
            <w:shd w:fill="CCEEFF" w:val="clear"/>
            <w:vAlign w:val="center"/>
          </w:tcPr>
          <w:p>
            <w:pPr>
              <w:pStyle w:val="TableContents"/>
              <w:bidi w:val="0"/>
              <w:spacing w:before="0" w:after="283"/>
              <w:jc w:val="left"/>
              <w:rPr/>
            </w:pPr>
            <w:r>
              <w:rPr/>
              <w:t> </w:t>
            </w:r>
            <w:bookmarkStart w:id="19" w:name="xdx_407_eus-gaap--OperatingLeaseRightOfU"/>
            <w:bookmarkEnd w:id="19"/>
          </w:p>
        </w:tc>
      </w:tr>
      <w:tr>
        <w:trPr/>
        <w:tc>
          <w:tcPr>
            <w:tcW w:w="7348"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1,048,599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79,614</w:t>
            </w:r>
          </w:p>
        </w:tc>
        <w:tc>
          <w:tcPr>
            <w:tcW w:w="112" w:type="dxa"/>
            <w:tcBorders/>
            <w:shd w:fill="FFFFFF" w:val="clear"/>
            <w:vAlign w:val="center"/>
          </w:tcPr>
          <w:p>
            <w:pPr>
              <w:pStyle w:val="TableContents"/>
              <w:bidi w:val="0"/>
              <w:spacing w:before="0" w:after="283"/>
              <w:jc w:val="left"/>
              <w:rPr/>
            </w:pPr>
            <w:r>
              <w:rPr/>
              <w:t> </w:t>
            </w:r>
            <w:bookmarkStart w:id="20" w:name="xdx_40C_eus-gaap--PrepaidExpenseAndOther"/>
            <w:bookmarkEnd w:id="20"/>
          </w:p>
        </w:tc>
      </w:tr>
      <w:tr>
        <w:trPr/>
        <w:tc>
          <w:tcPr>
            <w:tcW w:w="7348" w:type="dxa"/>
            <w:tcBorders/>
            <w:shd w:fill="CCEEFF" w:val="clear"/>
            <w:vAlign w:val="center"/>
          </w:tcPr>
          <w:p>
            <w:pPr>
              <w:pStyle w:val="TableContents"/>
              <w:bidi w:val="0"/>
              <w:spacing w:before="0" w:after="283"/>
              <w:jc w:val="left"/>
              <w:rPr/>
            </w:pPr>
            <w:r>
              <w:rPr/>
              <w:t>Prepayments and other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1,486</w:t>
            </w:r>
          </w:p>
        </w:tc>
        <w:tc>
          <w:tcPr>
            <w:tcW w:w="112" w:type="dxa"/>
            <w:tcBorders/>
            <w:shd w:fill="CCEEFF" w:val="clear"/>
            <w:vAlign w:val="center"/>
          </w:tcPr>
          <w:p>
            <w:pPr>
              <w:pStyle w:val="TableContents"/>
              <w:bidi w:val="0"/>
              <w:spacing w:before="0" w:after="283"/>
              <w:jc w:val="left"/>
              <w:rPr/>
            </w:pPr>
            <w:r>
              <w:rPr/>
              <w:t> </w:t>
            </w:r>
            <w:bookmarkStart w:id="21" w:name="xdx_40B_eus-gaap--DeferredOfferingCosts_"/>
            <w:bookmarkEnd w:id="21"/>
          </w:p>
        </w:tc>
      </w:tr>
      <w:tr>
        <w:trPr/>
        <w:tc>
          <w:tcPr>
            <w:tcW w:w="7348"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13,810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2" w:name="xdx_406_eus-gaap--AssetsNoncurrent_i02TI"/>
            <w:bookmarkEnd w:id="22"/>
          </w:p>
        </w:tc>
      </w:tr>
      <w:tr>
        <w:trPr/>
        <w:tc>
          <w:tcPr>
            <w:tcW w:w="7348"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1,436,606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366,061</w:t>
            </w:r>
          </w:p>
        </w:tc>
        <w:tc>
          <w:tcPr>
            <w:tcW w:w="112" w:type="dxa"/>
            <w:tcBorders/>
            <w:shd w:fill="CCEEFF" w:val="clear"/>
            <w:vAlign w:val="center"/>
          </w:tcPr>
          <w:p>
            <w:pPr>
              <w:pStyle w:val="TableContents"/>
              <w:bidi w:val="0"/>
              <w:spacing w:before="0" w:after="283"/>
              <w:jc w:val="left"/>
              <w:rPr/>
            </w:pPr>
            <w:r>
              <w:rPr/>
              <w:t> </w:t>
            </w:r>
            <w:bookmarkStart w:id="23" w:name="xdx_401_eus-gaap--Assets_i01TI_mtAz1jG_z"/>
            <w:bookmarkEnd w:id="23"/>
          </w:p>
        </w:tc>
      </w:tr>
      <w:tr>
        <w:trPr/>
        <w:tc>
          <w:tcPr>
            <w:tcW w:w="7348"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pPr>
            <w:r>
              <w:rPr/>
              <w:t>45,284,335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pPr>
            <w:r>
              <w:rPr/>
              <w:t>39,480,340</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4" w:name="xdx_40C_eus-gaap--LiabilitiesAndStockhol"/>
            <w:bookmarkEnd w:id="24"/>
          </w:p>
        </w:tc>
      </w:tr>
      <w:tr>
        <w:trPr/>
        <w:tc>
          <w:tcPr>
            <w:tcW w:w="7348"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3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5" w:name="xdx_405_eus-gaap--LiabilitiesAbstract_iB"/>
            <w:bookmarkEnd w:id="25"/>
          </w:p>
        </w:tc>
      </w:tr>
      <w:tr>
        <w:trPr/>
        <w:tc>
          <w:tcPr>
            <w:tcW w:w="7348"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6" w:name="xdx_40F_eus-gaap--LiabilitiesCurrentAbst"/>
            <w:bookmarkEnd w:id="26"/>
          </w:p>
        </w:tc>
      </w:tr>
      <w:tr>
        <w:trPr/>
        <w:tc>
          <w:tcPr>
            <w:tcW w:w="7348"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7" w:name="xdx_40A_eus-gaap--AccountsPayableCurrent"/>
            <w:bookmarkEnd w:id="27"/>
          </w:p>
        </w:tc>
      </w:tr>
      <w:tr>
        <w:trPr/>
        <w:tc>
          <w:tcPr>
            <w:tcW w:w="734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2" w:type="dxa"/>
            <w:tcBorders/>
            <w:shd w:fill="FFFFFF" w:val="clear"/>
            <w:vAlign w:val="center"/>
          </w:tcPr>
          <w:p>
            <w:pPr>
              <w:pStyle w:val="TableContents"/>
              <w:bidi w:val="0"/>
              <w:spacing w:before="0" w:after="283"/>
              <w:jc w:val="right"/>
              <w:rPr/>
            </w:pPr>
            <w:r>
              <w:rPr/>
              <w:t>27,059,792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143" w:type="dxa"/>
            <w:tcBorders/>
            <w:shd w:fill="FFFFFF" w:val="clear"/>
            <w:vAlign w:val="center"/>
          </w:tcPr>
          <w:p>
            <w:pPr>
              <w:pStyle w:val="TableContents"/>
              <w:bidi w:val="0"/>
              <w:spacing w:before="0" w:after="283"/>
              <w:jc w:val="right"/>
              <w:rPr/>
            </w:pPr>
            <w:r>
              <w:rPr/>
              <w:t>23,297,982</w:t>
            </w:r>
          </w:p>
        </w:tc>
        <w:tc>
          <w:tcPr>
            <w:tcW w:w="112" w:type="dxa"/>
            <w:tcBorders/>
            <w:shd w:fill="FFFFFF" w:val="clear"/>
            <w:vAlign w:val="center"/>
          </w:tcPr>
          <w:p>
            <w:pPr>
              <w:pStyle w:val="TableContents"/>
              <w:bidi w:val="0"/>
              <w:spacing w:before="0" w:after="283"/>
              <w:jc w:val="left"/>
              <w:rPr/>
            </w:pPr>
            <w:r>
              <w:rPr/>
              <w:t> </w:t>
            </w:r>
            <w:bookmarkStart w:id="28" w:name="xdx_409_eus-gaap--ShortTermBorrowings_i0"/>
            <w:bookmarkEnd w:id="28"/>
          </w:p>
        </w:tc>
      </w:tr>
      <w:tr>
        <w:trPr/>
        <w:tc>
          <w:tcPr>
            <w:tcW w:w="7348" w:type="dxa"/>
            <w:tcBorders/>
            <w:shd w:fill="CCEEFF" w:val="clear"/>
            <w:vAlign w:val="center"/>
          </w:tcPr>
          <w:p>
            <w:pPr>
              <w:pStyle w:val="TableContents"/>
              <w:bidi w:val="0"/>
              <w:spacing w:before="0" w:after="283"/>
              <w:jc w:val="left"/>
              <w:rPr/>
            </w:pPr>
            <w:r>
              <w:rPr/>
              <w:t>Short-term bank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4,388,443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4,215,217</w:t>
            </w:r>
          </w:p>
        </w:tc>
        <w:tc>
          <w:tcPr>
            <w:tcW w:w="112" w:type="dxa"/>
            <w:tcBorders/>
            <w:shd w:fill="CCEEFF" w:val="clear"/>
            <w:vAlign w:val="center"/>
          </w:tcPr>
          <w:p>
            <w:pPr>
              <w:pStyle w:val="TableContents"/>
              <w:bidi w:val="0"/>
              <w:spacing w:before="0" w:after="283"/>
              <w:jc w:val="left"/>
              <w:rPr/>
            </w:pPr>
            <w:r>
              <w:rPr/>
              <w:t> </w:t>
            </w:r>
            <w:bookmarkStart w:id="29" w:name="xdx_401_eus-gaap--TaxesPayableCurrent_i0"/>
            <w:bookmarkEnd w:id="29"/>
          </w:p>
        </w:tc>
      </w:tr>
      <w:tr>
        <w:trPr/>
        <w:tc>
          <w:tcPr>
            <w:tcW w:w="7348" w:type="dxa"/>
            <w:tcBorders/>
            <w:shd w:fill="FFFFFF" w:val="clear"/>
            <w:vAlign w:val="center"/>
          </w:tcPr>
          <w:p>
            <w:pPr>
              <w:pStyle w:val="TableContents"/>
              <w:bidi w:val="0"/>
              <w:spacing w:before="0" w:after="283"/>
              <w:jc w:val="left"/>
              <w:rPr/>
            </w:pPr>
            <w:r>
              <w:rPr/>
              <w:t>Income tax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556,676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162,212</w:t>
            </w:r>
          </w:p>
        </w:tc>
        <w:tc>
          <w:tcPr>
            <w:tcW w:w="112" w:type="dxa"/>
            <w:tcBorders/>
            <w:shd w:fill="FFFFFF" w:val="clear"/>
            <w:vAlign w:val="center"/>
          </w:tcPr>
          <w:p>
            <w:pPr>
              <w:pStyle w:val="TableContents"/>
              <w:bidi w:val="0"/>
              <w:spacing w:before="0" w:after="283"/>
              <w:jc w:val="left"/>
              <w:rPr/>
            </w:pPr>
            <w:r>
              <w:rPr/>
              <w:t> </w:t>
            </w:r>
            <w:bookmarkStart w:id="30" w:name="xdx_404_eus-gaap--OperatingLeaseLiabilit"/>
            <w:bookmarkEnd w:id="30"/>
          </w:p>
        </w:tc>
      </w:tr>
      <w:tr>
        <w:trPr/>
        <w:tc>
          <w:tcPr>
            <w:tcW w:w="7348"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359,353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78,281</w:t>
            </w:r>
          </w:p>
        </w:tc>
        <w:tc>
          <w:tcPr>
            <w:tcW w:w="112" w:type="dxa"/>
            <w:tcBorders/>
            <w:shd w:fill="CCEEFF" w:val="clear"/>
            <w:vAlign w:val="center"/>
          </w:tcPr>
          <w:p>
            <w:pPr>
              <w:pStyle w:val="TableContents"/>
              <w:bidi w:val="0"/>
              <w:spacing w:before="0" w:after="283"/>
              <w:jc w:val="left"/>
              <w:rPr/>
            </w:pPr>
            <w:r>
              <w:rPr/>
              <w:t> </w:t>
            </w:r>
            <w:bookmarkStart w:id="31" w:name="xdx_40D_eus-gaap--OtherAccruedLiabilitie"/>
            <w:bookmarkEnd w:id="31"/>
          </w:p>
        </w:tc>
      </w:tr>
      <w:tr>
        <w:trPr/>
        <w:tc>
          <w:tcPr>
            <w:tcW w:w="7348"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347,281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1,215,216</w:t>
            </w:r>
          </w:p>
        </w:tc>
        <w:tc>
          <w:tcPr>
            <w:tcW w:w="112" w:type="dxa"/>
            <w:tcBorders/>
            <w:shd w:fill="FFFFFF" w:val="clear"/>
            <w:vAlign w:val="center"/>
          </w:tcPr>
          <w:p>
            <w:pPr>
              <w:pStyle w:val="TableContents"/>
              <w:bidi w:val="0"/>
              <w:spacing w:before="0" w:after="283"/>
              <w:jc w:val="left"/>
              <w:rPr/>
            </w:pPr>
            <w:r>
              <w:rPr/>
              <w:t> </w:t>
            </w:r>
            <w:bookmarkStart w:id="32" w:name="xdx_407_eus-gaap--LiabilitiesCurrent_i02"/>
            <w:bookmarkEnd w:id="32"/>
          </w:p>
        </w:tc>
      </w:tr>
      <w:tr>
        <w:trPr/>
        <w:tc>
          <w:tcPr>
            <w:tcW w:w="734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32,711,545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28,968,908</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3" w:name="xdx_40E_eus-gaap--LiabilitiesNoncurrentA"/>
            <w:bookmarkEnd w:id="33"/>
          </w:p>
        </w:tc>
      </w:tr>
      <w:tr>
        <w:trPr/>
        <w:tc>
          <w:tcPr>
            <w:tcW w:w="7348"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4" w:name="xdx_409_eus-gaap--OperatingLeaseLiabilit"/>
            <w:bookmarkEnd w:id="34"/>
          </w:p>
        </w:tc>
      </w:tr>
      <w:tr>
        <w:trPr/>
        <w:tc>
          <w:tcPr>
            <w:tcW w:w="7348"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689,740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6,321</w:t>
            </w:r>
          </w:p>
        </w:tc>
        <w:tc>
          <w:tcPr>
            <w:tcW w:w="112" w:type="dxa"/>
            <w:tcBorders/>
            <w:shd w:fill="FFFFFF" w:val="clear"/>
            <w:vAlign w:val="center"/>
          </w:tcPr>
          <w:p>
            <w:pPr>
              <w:pStyle w:val="TableContents"/>
              <w:bidi w:val="0"/>
              <w:spacing w:before="0" w:after="283"/>
              <w:jc w:val="left"/>
              <w:rPr/>
            </w:pPr>
            <w:r>
              <w:rPr/>
              <w:t> </w:t>
            </w:r>
            <w:bookmarkStart w:id="35" w:name="xdx_407_eus-gaap--DeferredIncomeTaxLiabi"/>
            <w:bookmarkEnd w:id="35"/>
          </w:p>
        </w:tc>
      </w:tr>
      <w:tr>
        <w:trPr/>
        <w:tc>
          <w:tcPr>
            <w:tcW w:w="7348"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2,345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2,345</w:t>
            </w:r>
          </w:p>
        </w:tc>
        <w:tc>
          <w:tcPr>
            <w:tcW w:w="112" w:type="dxa"/>
            <w:tcBorders/>
            <w:shd w:fill="CCEEFF" w:val="clear"/>
            <w:vAlign w:val="center"/>
          </w:tcPr>
          <w:p>
            <w:pPr>
              <w:pStyle w:val="TableContents"/>
              <w:bidi w:val="0"/>
              <w:spacing w:before="0" w:after="283"/>
              <w:jc w:val="left"/>
              <w:rPr/>
            </w:pPr>
            <w:r>
              <w:rPr/>
              <w:t> </w:t>
            </w:r>
            <w:bookmarkStart w:id="36" w:name="xdx_40E_eus-gaap--LiabilitiesNoncurrent_"/>
            <w:bookmarkEnd w:id="36"/>
          </w:p>
        </w:tc>
      </w:tr>
      <w:tr>
        <w:trPr/>
        <w:tc>
          <w:tcPr>
            <w:tcW w:w="7348"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692,085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8,666</w:t>
            </w:r>
          </w:p>
        </w:tc>
        <w:tc>
          <w:tcPr>
            <w:tcW w:w="112" w:type="dxa"/>
            <w:tcBorders/>
            <w:shd w:fill="FFFFFF" w:val="clear"/>
            <w:vAlign w:val="center"/>
          </w:tcPr>
          <w:p>
            <w:pPr>
              <w:pStyle w:val="TableContents"/>
              <w:bidi w:val="0"/>
              <w:spacing w:before="0" w:after="283"/>
              <w:jc w:val="left"/>
              <w:rPr/>
            </w:pPr>
            <w:r>
              <w:rPr/>
              <w:t> </w:t>
            </w:r>
            <w:bookmarkStart w:id="37" w:name="xdx_400_eus-gaap--Liabilities_i01TI_mtLz"/>
            <w:bookmarkEnd w:id="37"/>
          </w:p>
        </w:tc>
      </w:tr>
      <w:tr>
        <w:trPr/>
        <w:tc>
          <w:tcPr>
            <w:tcW w:w="734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33,403,630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28,977,574</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5_eus-gaap--CommitmentsAndContinge"/>
            <w:bookmarkEnd w:id="38"/>
          </w:p>
        </w:tc>
      </w:tr>
      <w:tr>
        <w:trPr/>
        <w:tc>
          <w:tcPr>
            <w:tcW w:w="7348"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9" w:name="xdx_40D_eus-gaap--StockholdersEquityAbst"/>
            <w:bookmarkEnd w:id="39"/>
          </w:p>
        </w:tc>
      </w:tr>
      <w:tr>
        <w:trPr/>
        <w:tc>
          <w:tcPr>
            <w:tcW w:w="7348"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0" w:name="xdx_40C_eus-gaap--CommonStockValue_i01I_"/>
            <w:bookmarkEnd w:id="40"/>
          </w:p>
        </w:tc>
      </w:tr>
      <w:tr>
        <w:trPr/>
        <w:tc>
          <w:tcPr>
            <w:tcW w:w="7348" w:type="dxa"/>
            <w:tcBorders/>
            <w:shd w:fill="FFFFFF" w:val="clear"/>
            <w:vAlign w:val="center"/>
          </w:tcPr>
          <w:p>
            <w:pPr>
              <w:pStyle w:val="TableContents"/>
              <w:bidi w:val="0"/>
              <w:spacing w:before="0" w:after="283"/>
              <w:jc w:val="left"/>
              <w:rPr/>
            </w:pPr>
            <w:r>
              <w:rPr/>
              <w:t>Class A ordinary shares (US$</w:t>
            </w:r>
            <w:bookmarkStart w:id="41" w:name="xdx_904_eus-gaap--CommonStockParOrStated"/>
            <w:bookmarkStart w:id="42" w:name="xdx_90C_eus-gaap--CommonStockParOrStated"/>
            <w:bookmarkEnd w:id="41"/>
            <w:bookmarkEnd w:id="42"/>
            <w:r>
              <w:rPr/>
              <w:t xml:space="preserve">0.0001 par value, </w:t>
            </w:r>
            <w:bookmarkStart w:id="43" w:name="xdx_90E_eus-gaap--CommonStockSharesAutho"/>
            <w:bookmarkEnd w:id="43"/>
            <w:r>
              <w:rPr/>
              <w:t xml:space="preserve">4,500,000,000 shares and </w:t>
            </w:r>
            <w:bookmarkStart w:id="44" w:name="xdx_906_eus-gaap--CommonStockSharesAutho"/>
            <w:bookmarkEnd w:id="44"/>
            <w:r>
              <w:rPr/>
              <w:t xml:space="preserve">450,000,000 shares authorized as of June 30, 2026 and December 31, 2025; </w:t>
            </w:r>
            <w:bookmarkStart w:id="45" w:name="xdx_909_eus-gaap--CommonStockSharesOutst"/>
            <w:bookmarkStart w:id="46" w:name="xdx_906_eus-gaap--CommonStockSharesIssue"/>
            <w:bookmarkStart w:id="47" w:name="xdx_90A_eus-gaap--CommonStockSharesOutst"/>
            <w:bookmarkStart w:id="48" w:name="xdx_904_eus-gaap--CommonStockSharesIssue"/>
            <w:bookmarkEnd w:id="45"/>
            <w:bookmarkEnd w:id="46"/>
            <w:bookmarkEnd w:id="47"/>
            <w:bookmarkEnd w:id="48"/>
            <w:r>
              <w:rPr/>
              <w:t>9,815,000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982</w:t>
            </w:r>
          </w:p>
        </w:tc>
        <w:tc>
          <w:tcPr>
            <w:tcW w:w="112" w:type="dxa"/>
            <w:tcBorders/>
            <w:shd w:fill="FFFFFF" w:val="clear"/>
            <w:vAlign w:val="center"/>
          </w:tcPr>
          <w:p>
            <w:pPr>
              <w:pStyle w:val="TableContents"/>
              <w:bidi w:val="0"/>
              <w:spacing w:before="0" w:after="283"/>
              <w:jc w:val="left"/>
              <w:rPr/>
            </w:pPr>
            <w:r>
              <w:rPr/>
              <w:t> </w:t>
            </w:r>
            <w:bookmarkStart w:id="49" w:name="xdx_405_eus-gaap--CommonStockValue_i01I_"/>
            <w:bookmarkEnd w:id="49"/>
          </w:p>
        </w:tc>
      </w:tr>
      <w:tr>
        <w:trPr/>
        <w:tc>
          <w:tcPr>
            <w:tcW w:w="7348" w:type="dxa"/>
            <w:tcBorders/>
            <w:shd w:fill="CCEEFF" w:val="clear"/>
            <w:vAlign w:val="center"/>
          </w:tcPr>
          <w:p>
            <w:pPr>
              <w:pStyle w:val="TableContents"/>
              <w:bidi w:val="0"/>
              <w:spacing w:before="0" w:after="283"/>
              <w:jc w:val="left"/>
              <w:rPr/>
            </w:pPr>
            <w:r>
              <w:rPr/>
              <w:t>Class B ordinary shares (US$</w:t>
            </w:r>
            <w:bookmarkStart w:id="50" w:name="xdx_900_eus-gaap--CommonStockParOrStated"/>
            <w:bookmarkStart w:id="51" w:name="xdx_908_eus-gaap--CommonStockParOrStated"/>
            <w:bookmarkEnd w:id="50"/>
            <w:bookmarkEnd w:id="51"/>
            <w:r>
              <w:rPr/>
              <w:t xml:space="preserve">0.0001 par value, </w:t>
            </w:r>
            <w:bookmarkStart w:id="52" w:name="xdx_90B_eus-gaap--CommonStockSharesAutho"/>
            <w:bookmarkEnd w:id="52"/>
            <w:r>
              <w:rPr/>
              <w:t xml:space="preserve">500,000,000 shares and </w:t>
            </w:r>
            <w:bookmarkStart w:id="53" w:name="xdx_90C_eus-gaap--CommonStockSharesAutho"/>
            <w:bookmarkEnd w:id="53"/>
            <w:r>
              <w:rPr/>
              <w:t xml:space="preserve">50,000,000 shares authorized as of June 30, 2026 and December 31, 2025; </w:t>
            </w:r>
            <w:bookmarkStart w:id="54" w:name="xdx_90C_eus-gaap--CommonStockSharesOutst"/>
            <w:bookmarkStart w:id="55" w:name="xdx_905_eus-gaap--CommonStockSharesIssue"/>
            <w:bookmarkStart w:id="56" w:name="xdx_90D_eus-gaap--CommonStockSharesOutst"/>
            <w:bookmarkStart w:id="57" w:name="xdx_903_eus-gaap--CommonStockSharesIssue"/>
            <w:bookmarkEnd w:id="54"/>
            <w:bookmarkEnd w:id="55"/>
            <w:bookmarkEnd w:id="56"/>
            <w:bookmarkEnd w:id="57"/>
            <w:r>
              <w:rPr/>
              <w:t>22,650,000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2,265</w:t>
            </w:r>
          </w:p>
        </w:tc>
        <w:tc>
          <w:tcPr>
            <w:tcW w:w="112" w:type="dxa"/>
            <w:tcBorders/>
            <w:shd w:fill="CCEEFF" w:val="clear"/>
            <w:vAlign w:val="center"/>
          </w:tcPr>
          <w:p>
            <w:pPr>
              <w:pStyle w:val="TableContents"/>
              <w:bidi w:val="0"/>
              <w:spacing w:before="0" w:after="283"/>
              <w:jc w:val="left"/>
              <w:rPr/>
            </w:pPr>
            <w:r>
              <w:rPr/>
              <w:t> </w:t>
            </w:r>
            <w:bookmarkStart w:id="58" w:name="xdx_408_eus-gaap--CommonStockValue_i01I_"/>
            <w:bookmarkEnd w:id="58"/>
          </w:p>
        </w:tc>
      </w:tr>
      <w:tr>
        <w:trPr/>
        <w:tc>
          <w:tcPr>
            <w:tcW w:w="7348" w:type="dxa"/>
            <w:tcBorders/>
            <w:shd w:fill="CCEEFF" w:val="clear"/>
            <w:vAlign w:val="center"/>
          </w:tcPr>
          <w:p>
            <w:pPr>
              <w:pStyle w:val="TableContents"/>
              <w:bidi w:val="0"/>
              <w:spacing w:before="0" w:after="283"/>
              <w:jc w:val="left"/>
              <w:rPr/>
            </w:pPr>
            <w:r>
              <w:rPr/>
              <w:t>Ordinary shares,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2,265</w:t>
            </w:r>
          </w:p>
        </w:tc>
        <w:tc>
          <w:tcPr>
            <w:tcW w:w="112" w:type="dxa"/>
            <w:tcBorders/>
            <w:shd w:fill="CCEEFF" w:val="clear"/>
            <w:vAlign w:val="center"/>
          </w:tcPr>
          <w:p>
            <w:pPr>
              <w:pStyle w:val="TableContents"/>
              <w:bidi w:val="0"/>
              <w:spacing w:before="0" w:after="283"/>
              <w:jc w:val="left"/>
              <w:rPr/>
            </w:pPr>
            <w:r>
              <w:rPr/>
              <w:t> </w:t>
            </w:r>
            <w:bookmarkStart w:id="59" w:name="xdx_40F_eus-gaap--AdditionalPaidInCapita"/>
            <w:bookmarkEnd w:id="59"/>
          </w:p>
        </w:tc>
      </w:tr>
      <w:tr>
        <w:trPr/>
        <w:tc>
          <w:tcPr>
            <w:tcW w:w="734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11,706,110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11,706,110</w:t>
            </w:r>
          </w:p>
        </w:tc>
        <w:tc>
          <w:tcPr>
            <w:tcW w:w="112" w:type="dxa"/>
            <w:tcBorders/>
            <w:shd w:fill="FFFFFF" w:val="clear"/>
            <w:vAlign w:val="center"/>
          </w:tcPr>
          <w:p>
            <w:pPr>
              <w:pStyle w:val="TableContents"/>
              <w:bidi w:val="0"/>
              <w:spacing w:before="0" w:after="283"/>
              <w:jc w:val="left"/>
              <w:rPr/>
            </w:pPr>
            <w:r>
              <w:rPr/>
              <w:t> </w:t>
            </w:r>
            <w:bookmarkStart w:id="60" w:name="xdx_402_eus-gaap--AccumulatedOtherCompre"/>
            <w:bookmarkEnd w:id="60"/>
          </w:p>
        </w:tc>
      </w:tr>
      <w:tr>
        <w:trPr/>
        <w:tc>
          <w:tcPr>
            <w:tcW w:w="7348"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(913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(648</w:t>
            </w:r>
          </w:p>
        </w:tc>
        <w:tc>
          <w:tcPr>
            <w:tcW w:w="112" w:type="dxa"/>
            <w:tcBorders/>
            <w:shd w:fill="CCEEFF" w:val="clear"/>
            <w:vAlign w:val="center"/>
          </w:tcPr>
          <w:p>
            <w:pPr>
              <w:pStyle w:val="TableContents"/>
              <w:bidi w:val="0"/>
              <w:spacing w:before="0" w:after="283"/>
              <w:jc w:val="left"/>
              <w:rPr/>
            </w:pPr>
            <w:r>
              <w:rPr/>
              <w:t>)</w:t>
            </w:r>
            <w:bookmarkStart w:id="61" w:name="xdx_406_eus-gaap--RetainedEarningsAccumu"/>
            <w:bookmarkEnd w:id="61"/>
          </w:p>
        </w:tc>
      </w:tr>
      <w:tr>
        <w:trPr/>
        <w:tc>
          <w:tcPr>
            <w:tcW w:w="7348"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172,261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(1,205,943</w:t>
            </w:r>
          </w:p>
        </w:tc>
        <w:tc>
          <w:tcPr>
            <w:tcW w:w="112" w:type="dxa"/>
            <w:tcBorders/>
            <w:shd w:fill="FFFFFF" w:val="clear"/>
            <w:vAlign w:val="center"/>
          </w:tcPr>
          <w:p>
            <w:pPr>
              <w:pStyle w:val="TableContents"/>
              <w:bidi w:val="0"/>
              <w:spacing w:before="0" w:after="283"/>
              <w:jc w:val="left"/>
              <w:rPr/>
            </w:pPr>
            <w:r>
              <w:rPr/>
              <w:t>)</w:t>
            </w:r>
            <w:bookmarkStart w:id="62" w:name="xdx_40B_eus-gaap--StockholdersEquity_i01"/>
            <w:bookmarkEnd w:id="62"/>
          </w:p>
        </w:tc>
      </w:tr>
      <w:tr>
        <w:trPr/>
        <w:tc>
          <w:tcPr>
            <w:tcW w:w="7348"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11,880,705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10,502,766</w:t>
            </w:r>
          </w:p>
        </w:tc>
        <w:tc>
          <w:tcPr>
            <w:tcW w:w="112" w:type="dxa"/>
            <w:tcBorders/>
            <w:shd w:fill="CCEEFF" w:val="clear"/>
            <w:vAlign w:val="center"/>
          </w:tcPr>
          <w:p>
            <w:pPr>
              <w:pStyle w:val="TableContents"/>
              <w:bidi w:val="0"/>
              <w:spacing w:before="0" w:after="283"/>
              <w:jc w:val="left"/>
              <w:rPr/>
            </w:pPr>
            <w:r>
              <w:rPr/>
              <w:t> </w:t>
            </w:r>
          </w:p>
        </w:tc>
      </w:tr>
      <w:tr>
        <w:trPr/>
        <w:tc>
          <w:tcPr>
            <w:tcW w:w="73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3" w:name="xdx_406_eus-gaap--LiabilitiesAndStockhol"/>
            <w:bookmarkEnd w:id="63"/>
          </w:p>
        </w:tc>
      </w:tr>
      <w:tr>
        <w:trPr/>
        <w:tc>
          <w:tcPr>
            <w:tcW w:w="734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pPr>
            <w:r>
              <w:rPr/>
              <w:t>45,284,335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3" w:type="dxa"/>
            <w:tcBorders>
              <w:bottom w:val="double" w:sz="6" w:space="0" w:color="000000"/>
            </w:tcBorders>
            <w:shd w:fill="CCEEFF" w:val="clear"/>
            <w:tcMar>
              <w:bottom w:w="28" w:type="dxa"/>
            </w:tcMar>
            <w:vAlign w:val="center"/>
          </w:tcPr>
          <w:p>
            <w:pPr>
              <w:pStyle w:val="TableContents"/>
              <w:bidi w:val="0"/>
              <w:spacing w:before="0" w:after="283"/>
              <w:jc w:val="right"/>
              <w:rPr/>
            </w:pPr>
            <w:r>
              <w:rPr/>
              <w:t>39,480,340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 w:name="a_002"/>
      <w:bookmarkEnd w:id="64"/>
      <w:r>
        <w:rPr>
          <w:rFonts w:ascii="Times New Roman;Times;Serif" w:hAnsi="Times New Roman;Times;Serif"/>
          <w:b/>
          <w:i w:val="false"/>
          <w:caps w:val="false"/>
          <w:smallCaps w:val="false"/>
          <w:sz w:val="20"/>
        </w:rPr>
        <w:t>Unaudited Condensed Consolidated Statements of Income and Comprehensive Income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 except for the number of shares)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 w:name="xdx_304_113_zwr9O3Eg5768"/>
      <w:bookmarkStart w:id="66" w:name="xdx_304_113_zwr9O3Eg5768"/>
      <w:bookmarkEnd w:id="66"/>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 w:name="xdx_49D_20260101__20260630_z5JLxxxhM4ha"/>
            <w:bookmarkEnd w:id="67"/>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 w:name="xdx_491_20250101__20250630_zyaQENNskHM2"/>
            <w:bookmarkEnd w:id="68"/>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69" w:name="xdx_403_eus-gaap--RevenuesAbstract_iB_zU"/>
            <w:bookmarkEnd w:id="69"/>
          </w:p>
        </w:tc>
      </w:tr>
      <w:tr>
        <w:trPr/>
        <w:tc>
          <w:tcPr>
            <w:tcW w:w="701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0" w:name="xdx_405_eus-gaap--RevenueFromContractWit"/>
            <w:bookmarkEnd w:id="70"/>
          </w:p>
        </w:tc>
      </w:tr>
      <w:tr>
        <w:trPr/>
        <w:tc>
          <w:tcPr>
            <w:tcW w:w="7010" w:type="dxa"/>
            <w:tcBorders/>
            <w:shd w:fill="FFFFFF" w:val="clear"/>
            <w:vAlign w:val="center"/>
          </w:tcPr>
          <w:p>
            <w:pPr>
              <w:pStyle w:val="TableContents"/>
              <w:bidi w:val="0"/>
              <w:spacing w:before="0" w:after="283"/>
              <w:jc w:val="left"/>
              <w:rPr/>
            </w:pPr>
            <w:r>
              <w:rPr/>
              <w:t>Sales of marine fuels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196,654,955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114,618,812</w:t>
            </w:r>
          </w:p>
        </w:tc>
        <w:tc>
          <w:tcPr>
            <w:tcW w:w="110" w:type="dxa"/>
            <w:tcBorders/>
            <w:shd w:fill="FFFFFF" w:val="clear"/>
            <w:vAlign w:val="center"/>
          </w:tcPr>
          <w:p>
            <w:pPr>
              <w:pStyle w:val="TableContents"/>
              <w:bidi w:val="0"/>
              <w:spacing w:before="0" w:after="283"/>
              <w:jc w:val="left"/>
              <w:rPr/>
            </w:pPr>
            <w:r>
              <w:rPr/>
              <w:t> </w:t>
            </w:r>
            <w:bookmarkStart w:id="71" w:name="xdx_40D_eus-gaap--RevenueFromContractWit"/>
            <w:bookmarkEnd w:id="71"/>
          </w:p>
        </w:tc>
      </w:tr>
      <w:tr>
        <w:trPr/>
        <w:tc>
          <w:tcPr>
            <w:tcW w:w="7010" w:type="dxa"/>
            <w:tcBorders/>
            <w:shd w:fill="CCEEFF" w:val="clear"/>
            <w:vAlign w:val="center"/>
          </w:tcPr>
          <w:p>
            <w:pPr>
              <w:pStyle w:val="TableContents"/>
              <w:bidi w:val="0"/>
              <w:spacing w:before="0" w:after="283"/>
              <w:jc w:val="left"/>
              <w:rPr/>
            </w:pPr>
            <w:r>
              <w:rPr/>
              <w:t>Freight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2" w:name="xdx_401_eus-gaap--RevenueFromContractWit"/>
            <w:bookmarkEnd w:id="72"/>
          </w:p>
        </w:tc>
      </w:tr>
      <w:tr>
        <w:trPr/>
        <w:tc>
          <w:tcPr>
            <w:tcW w:w="7010" w:type="dxa"/>
            <w:tcBorders/>
            <w:shd w:fill="FFFFFF" w:val="clear"/>
            <w:vAlign w:val="center"/>
          </w:tcPr>
          <w:p>
            <w:pPr>
              <w:pStyle w:val="TableContents"/>
              <w:bidi w:val="0"/>
              <w:spacing w:before="0" w:after="283"/>
              <w:jc w:val="left"/>
              <w:rPr/>
            </w:pPr>
            <w:r>
              <w:rPr/>
              <w:t>Brokerage commissions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1,973</w:t>
            </w:r>
          </w:p>
        </w:tc>
        <w:tc>
          <w:tcPr>
            <w:tcW w:w="110" w:type="dxa"/>
            <w:tcBorders/>
            <w:shd w:fill="FFFFFF" w:val="clear"/>
            <w:vAlign w:val="center"/>
          </w:tcPr>
          <w:p>
            <w:pPr>
              <w:pStyle w:val="TableContents"/>
              <w:bidi w:val="0"/>
              <w:spacing w:before="0" w:after="283"/>
              <w:jc w:val="left"/>
              <w:rPr/>
            </w:pPr>
            <w:r>
              <w:rPr/>
              <w:t> </w:t>
            </w:r>
            <w:bookmarkStart w:id="73" w:name="xdx_406_eus-gaap--RevenueFromContractWit"/>
            <w:bookmarkEnd w:id="73"/>
          </w:p>
        </w:tc>
      </w:tr>
      <w:tr>
        <w:trPr/>
        <w:tc>
          <w:tcPr>
            <w:tcW w:w="70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197,109,755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114,620,785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4" w:name="xdx_407_eus-gaap--CostOfRevenue_iN_di_ms"/>
            <w:bookmarkEnd w:id="74"/>
          </w:p>
        </w:tc>
      </w:tr>
      <w:tr>
        <w:trPr/>
        <w:tc>
          <w:tcPr>
            <w:tcW w:w="7010"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(191,769,911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(112,551,139</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5" w:name="xdx_408_eus-gaap--GrossProfit_iT_mtGPzcA"/>
            <w:bookmarkEnd w:id="75"/>
          </w:p>
        </w:tc>
      </w:tr>
      <w:tr>
        <w:trPr/>
        <w:tc>
          <w:tcPr>
            <w:tcW w:w="70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5,339,844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2,069,646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6" w:name="xdx_403_eus-gaap--OperatingExpensesAbstr"/>
            <w:bookmarkEnd w:id="76"/>
          </w:p>
        </w:tc>
      </w:tr>
      <w:tr>
        <w:trPr/>
        <w:tc>
          <w:tcPr>
            <w:tcW w:w="701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7" w:name="xdx_406_eus-gaap--SellingAndMarketingExp"/>
            <w:bookmarkEnd w:id="77"/>
          </w:p>
        </w:tc>
      </w:tr>
      <w:tr>
        <w:trPr/>
        <w:tc>
          <w:tcPr>
            <w:tcW w:w="701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(288,913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(478,825</w:t>
            </w:r>
          </w:p>
        </w:tc>
        <w:tc>
          <w:tcPr>
            <w:tcW w:w="110" w:type="dxa"/>
            <w:tcBorders/>
            <w:shd w:fill="FFFFFF" w:val="clear"/>
            <w:vAlign w:val="center"/>
          </w:tcPr>
          <w:p>
            <w:pPr>
              <w:pStyle w:val="TableContents"/>
              <w:bidi w:val="0"/>
              <w:spacing w:before="0" w:after="283"/>
              <w:jc w:val="left"/>
              <w:rPr/>
            </w:pPr>
            <w:r>
              <w:rPr/>
              <w:t>)</w:t>
            </w:r>
            <w:bookmarkStart w:id="78" w:name="xdx_40F_eus-gaap--GeneralAndAdministrati"/>
            <w:bookmarkEnd w:id="78"/>
          </w:p>
        </w:tc>
      </w:tr>
      <w:tr>
        <w:trPr/>
        <w:tc>
          <w:tcPr>
            <w:tcW w:w="70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(3,139,962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(1,406,391</w:t>
            </w:r>
          </w:p>
        </w:tc>
        <w:tc>
          <w:tcPr>
            <w:tcW w:w="110" w:type="dxa"/>
            <w:tcBorders/>
            <w:shd w:fill="CCEEFF" w:val="clear"/>
            <w:vAlign w:val="center"/>
          </w:tcPr>
          <w:p>
            <w:pPr>
              <w:pStyle w:val="TableContents"/>
              <w:bidi w:val="0"/>
              <w:spacing w:before="0" w:after="283"/>
              <w:jc w:val="left"/>
              <w:rPr/>
            </w:pPr>
            <w:r>
              <w:rPr/>
              <w:t>)</w:t>
            </w:r>
            <w:bookmarkStart w:id="79" w:name="xdx_40E_eus-gaap--OperatingExpenses_i01N"/>
            <w:bookmarkEnd w:id="79"/>
          </w:p>
        </w:tc>
      </w:tr>
      <w:tr>
        <w:trPr/>
        <w:tc>
          <w:tcPr>
            <w:tcW w:w="70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(3,428,875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(1,885,216</w:t>
            </w:r>
          </w:p>
        </w:tc>
        <w:tc>
          <w:tcPr>
            <w:tcW w:w="110" w:type="dxa"/>
            <w:tcBorders/>
            <w:shd w:fill="FFFFFF" w:val="clear"/>
            <w:vAlign w:val="center"/>
          </w:tcPr>
          <w:p>
            <w:pPr>
              <w:pStyle w:val="TableContents"/>
              <w:bidi w:val="0"/>
              <w:spacing w:before="0" w:after="283"/>
              <w:jc w:val="left"/>
              <w:rPr/>
            </w:pPr>
            <w:r>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0" w:name="xdx_404_eus-gaap--OperatingIncomeLoss_iT"/>
            <w:bookmarkEnd w:id="80"/>
          </w:p>
        </w:tc>
      </w:tr>
      <w:tr>
        <w:trPr/>
        <w:tc>
          <w:tcPr>
            <w:tcW w:w="7010"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1,910,969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184,430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1" w:name="xdx_407_eus-gaap--NonoperatingIncomeExpe"/>
            <w:bookmarkEnd w:id="81"/>
          </w:p>
        </w:tc>
      </w:tr>
      <w:tr>
        <w:trPr/>
        <w:tc>
          <w:tcPr>
            <w:tcW w:w="7010"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 w:name="xdx_40F_eus-gaap--InterestIncomeExpenseN"/>
            <w:bookmarkEnd w:id="82"/>
          </w:p>
        </w:tc>
      </w:tr>
      <w:tr>
        <w:trPr/>
        <w:tc>
          <w:tcPr>
            <w:tcW w:w="7010" w:type="dxa"/>
            <w:tcBorders/>
            <w:shd w:fill="CCEEFF" w:val="clear"/>
            <w:vAlign w:val="center"/>
          </w:tcPr>
          <w:p>
            <w:pPr>
              <w:pStyle w:val="TableContents"/>
              <w:bidi w:val="0"/>
              <w:spacing w:before="0" w:after="283"/>
              <w:jc w:val="left"/>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7,826</w:t>
            </w:r>
          </w:p>
        </w:tc>
        <w:tc>
          <w:tcPr>
            <w:tcW w:w="110" w:type="dxa"/>
            <w:tcBorders/>
            <w:shd w:fill="CCEEFF" w:val="clear"/>
            <w:vAlign w:val="center"/>
          </w:tcPr>
          <w:p>
            <w:pPr>
              <w:pStyle w:val="TableContents"/>
              <w:bidi w:val="0"/>
              <w:spacing w:before="0" w:after="283"/>
              <w:jc w:val="left"/>
              <w:rPr/>
            </w:pPr>
            <w:r>
              <w:rPr/>
              <w:t> </w:t>
            </w:r>
            <w:bookmarkStart w:id="83" w:name="xdx_400_eus-gaap--OtherNonoperatingIncom"/>
            <w:bookmarkEnd w:id="83"/>
          </w:p>
        </w:tc>
      </w:tr>
      <w:tr>
        <w:trPr/>
        <w:tc>
          <w:tcPr>
            <w:tcW w:w="701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123,019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6,221</w:t>
            </w:r>
          </w:p>
        </w:tc>
        <w:tc>
          <w:tcPr>
            <w:tcW w:w="110" w:type="dxa"/>
            <w:tcBorders/>
            <w:shd w:fill="FFFFFF" w:val="clear"/>
            <w:vAlign w:val="center"/>
          </w:tcPr>
          <w:p>
            <w:pPr>
              <w:pStyle w:val="TableContents"/>
              <w:bidi w:val="0"/>
              <w:spacing w:before="0" w:after="283"/>
              <w:jc w:val="left"/>
              <w:rPr/>
            </w:pPr>
            <w:r>
              <w:rPr/>
              <w:t> </w:t>
            </w:r>
            <w:bookmarkStart w:id="84" w:name="xdx_405_eus-gaap--NonoperatingIncomeExpe"/>
            <w:bookmarkEnd w:id="84"/>
          </w:p>
        </w:tc>
      </w:tr>
      <w:tr>
        <w:trPr/>
        <w:tc>
          <w:tcPr>
            <w:tcW w:w="701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14,047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 w:name="xdx_40E_eus-gaap--IncomeLossFromContinui"/>
            <w:bookmarkEnd w:id="85"/>
          </w:p>
        </w:tc>
      </w:tr>
      <w:tr>
        <w:trPr/>
        <w:tc>
          <w:tcPr>
            <w:tcW w:w="7010" w:type="dxa"/>
            <w:tcBorders/>
            <w:shd w:fill="CCEEFF" w:val="clear"/>
            <w:vAlign w:val="center"/>
          </w:tcPr>
          <w:p>
            <w:pPr>
              <w:pStyle w:val="TableContents"/>
              <w:bidi w:val="0"/>
              <w:spacing w:before="0" w:after="283"/>
              <w:jc w:val="left"/>
              <w:rPr>
                <w:b/>
              </w:rPr>
            </w:pPr>
            <w:r>
              <w:rPr>
                <w:b/>
              </w:rPr>
              <w:t>Income before income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1,891,413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198,477</w:t>
            </w:r>
          </w:p>
        </w:tc>
        <w:tc>
          <w:tcPr>
            <w:tcW w:w="110" w:type="dxa"/>
            <w:tcBorders/>
            <w:shd w:fill="CCEEFF" w:val="clear"/>
            <w:vAlign w:val="center"/>
          </w:tcPr>
          <w:p>
            <w:pPr>
              <w:pStyle w:val="TableContents"/>
              <w:bidi w:val="0"/>
              <w:spacing w:before="0" w:after="283"/>
              <w:jc w:val="left"/>
              <w:rPr/>
            </w:pPr>
            <w:r>
              <w:rPr/>
              <w:t> </w:t>
            </w:r>
            <w:bookmarkStart w:id="86" w:name="xdx_40C_eus-gaap--IncomeTaxExpenseBenefi"/>
            <w:bookmarkEnd w:id="86"/>
          </w:p>
        </w:tc>
      </w:tr>
      <w:tr>
        <w:trPr/>
        <w:tc>
          <w:tcPr>
            <w:tcW w:w="701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(513,209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(107,490</w:t>
            </w:r>
          </w:p>
        </w:tc>
        <w:tc>
          <w:tcPr>
            <w:tcW w:w="110" w:type="dxa"/>
            <w:tcBorders/>
            <w:shd w:fill="FFFFFF" w:val="clear"/>
            <w:vAlign w:val="center"/>
          </w:tcPr>
          <w:p>
            <w:pPr>
              <w:pStyle w:val="TableContents"/>
              <w:bidi w:val="0"/>
              <w:spacing w:before="0" w:after="283"/>
              <w:jc w:val="left"/>
              <w:rPr/>
            </w:pPr>
            <w:r>
              <w:rPr/>
              <w:t>)</w:t>
            </w:r>
            <w:bookmarkStart w:id="87" w:name="xdx_409_eus-gaap--NetIncomeLoss_iT_mtNIL"/>
            <w:bookmarkEnd w:id="87"/>
          </w:p>
        </w:tc>
      </w:tr>
      <w:tr>
        <w:trPr/>
        <w:tc>
          <w:tcPr>
            <w:tcW w:w="701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1,378,204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90,987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8" w:name="xdx_406_eus-gaap--ComprehensiveIncomeNet"/>
            <w:bookmarkEnd w:id="88"/>
          </w:p>
        </w:tc>
      </w:tr>
      <w:tr>
        <w:trPr/>
        <w:tc>
          <w:tcPr>
            <w:tcW w:w="7010" w:type="dxa"/>
            <w:tcBorders/>
            <w:shd w:fill="CCEEFF" w:val="clear"/>
            <w:vAlign w:val="center"/>
          </w:tcPr>
          <w:p>
            <w:pPr>
              <w:pStyle w:val="TableContents"/>
              <w:bidi w:val="0"/>
              <w:spacing w:before="0" w:after="283"/>
              <w:jc w:val="left"/>
              <w:rPr>
                <w:b/>
              </w:rPr>
            </w:pPr>
            <w:r>
              <w:rPr>
                <w:b/>
              </w:rPr>
              <w:t>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9" w:name="xdx_409_eus-gaap--OtherComprehensiveInco"/>
            <w:bookmarkEnd w:id="89"/>
          </w:p>
        </w:tc>
      </w:tr>
      <w:tr>
        <w:trPr/>
        <w:tc>
          <w:tcPr>
            <w:tcW w:w="701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bookmarkStart w:id="90" w:name="xdx_40F_eus-gaap--ComprehensiveIncomeNet"/>
            <w:bookmarkEnd w:id="90"/>
          </w:p>
        </w:tc>
      </w:tr>
      <w:tr>
        <w:trPr/>
        <w:tc>
          <w:tcPr>
            <w:tcW w:w="7010" w:type="dxa"/>
            <w:tcBorders/>
            <w:shd w:fill="CCEEFF" w:val="clear"/>
            <w:vAlign w:val="center"/>
          </w:tcPr>
          <w:p>
            <w:pPr>
              <w:pStyle w:val="TableContents"/>
              <w:bidi w:val="0"/>
              <w:spacing w:before="0" w:after="283"/>
              <w:jc w:val="left"/>
              <w:rPr>
                <w:b/>
              </w:rPr>
            </w:pPr>
            <w:r>
              <w:rPr>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1,377,939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91,134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1" w:name="xdx_40C_eus-gaap--EarningsPerShareBasicA"/>
            <w:bookmarkEnd w:id="91"/>
          </w:p>
        </w:tc>
      </w:tr>
      <w:tr>
        <w:trPr/>
        <w:tc>
          <w:tcPr>
            <w:tcW w:w="7010" w:type="dxa"/>
            <w:tcBorders/>
            <w:shd w:fill="CCEEFF" w:val="clear"/>
            <w:vAlign w:val="center"/>
          </w:tcPr>
          <w:p>
            <w:pPr>
              <w:pStyle w:val="TableContents"/>
              <w:bidi w:val="0"/>
              <w:spacing w:before="0" w:after="283"/>
              <w:jc w:val="left"/>
              <w:rPr/>
            </w:pPr>
            <w:r>
              <w:rPr/>
              <w:t>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Class A ordinary shares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2" w:name="xdx_90D_eus-gaap--EarningsPerShareDilute"/>
            <w:bookmarkStart w:id="93" w:name="xdx_90E_eus-gaap--EarningsPerShareBasic_"/>
            <w:bookmarkEnd w:id="92"/>
            <w:bookmarkEnd w:id="93"/>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94" w:name="xdx_90C_eus-gaap--EarningsPerShareDilute"/>
            <w:bookmarkStart w:id="95" w:name="xdx_908_eus-gaap--EarningsPerShareBasic_"/>
            <w:bookmarkEnd w:id="94"/>
            <w:bookmarkEnd w:id="95"/>
            <w:r>
              <w:rPr/>
              <w:t>0.01</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Class B ordinary shares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6" w:name="xdx_903_eus-gaap--EarningsPerShareDilute"/>
            <w:bookmarkStart w:id="97" w:name="xdx_902_eus-gaap--EarningsPerShareBasic_"/>
            <w:bookmarkEnd w:id="96"/>
            <w:bookmarkEnd w:id="97"/>
            <w:r>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8" w:name="xdx_90C_eus-gaap--EarningsPerShareDilute"/>
            <w:bookmarkStart w:id="99" w:name="xdx_903_eus-gaap--EarningsPerShareBasic_"/>
            <w:bookmarkEnd w:id="98"/>
            <w:bookmarkEnd w:id="99"/>
            <w:r>
              <w:rPr/>
              <w:t>0.01</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 w:name="xdx_40A_eus-gaap--EarningsPerShareBasicO"/>
            <w:bookmarkEnd w:id="100"/>
          </w:p>
        </w:tc>
      </w:tr>
      <w:tr>
        <w:trPr/>
        <w:tc>
          <w:tcPr>
            <w:tcW w:w="7010" w:type="dxa"/>
            <w:tcBorders/>
            <w:shd w:fill="CCEEFF" w:val="clear"/>
            <w:vAlign w:val="center"/>
          </w:tcPr>
          <w:p>
            <w:pPr>
              <w:pStyle w:val="TableContents"/>
              <w:bidi w:val="0"/>
              <w:spacing w:before="0" w:after="283"/>
              <w:jc w:val="left"/>
              <w:rPr/>
            </w:pPr>
            <w:r>
              <w:rPr/>
              <w:t>Weighted average shares outstanding used in calculating basic and diluted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Class A ordinary shares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1" w:name="xdx_90E_eus-gaap--WeightedAverageNumberO"/>
            <w:bookmarkStart w:id="102" w:name="xdx_909_eus-gaap--WeightedAverageNumberO"/>
            <w:bookmarkEnd w:id="101"/>
            <w:bookmarkEnd w:id="102"/>
            <w:r>
              <w:rPr/>
              <w:t>9,815,000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3" w:name="xdx_905_eus-gaap--WeightedAverageNumberO"/>
            <w:bookmarkStart w:id="104" w:name="xdx_905_eus-gaap--WeightedAverageNumberO"/>
            <w:bookmarkEnd w:id="103"/>
            <w:bookmarkEnd w:id="104"/>
            <w:r>
              <w:rPr/>
              <w:t>9,543,398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Class B ordinary shares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5" w:name="xdx_90D_eus-gaap--WeightedAverageNumberO"/>
            <w:bookmarkStart w:id="106" w:name="xdx_900_eus-gaap--WeightedAverageNumberO"/>
            <w:bookmarkEnd w:id="105"/>
            <w:bookmarkEnd w:id="106"/>
            <w:r>
              <w:rPr/>
              <w:t>22,650,000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7" w:name="xdx_901_eus-gaap--WeightedAverageNumberO"/>
            <w:bookmarkStart w:id="108" w:name="xdx_906_eus-gaap--WeightedAverageNumberO"/>
            <w:bookmarkEnd w:id="107"/>
            <w:bookmarkEnd w:id="108"/>
            <w:r>
              <w:rPr/>
              <w:t>22,650,000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09" w:name="xdx_F02_z9L6bWsL1w49"/>
            <w:bookmarkEnd w:id="109"/>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bookmarkStart w:id="110" w:name="xdx_F1A_z00Di6kgbWN4"/>
            <w:bookmarkEnd w:id="110"/>
            <w:r>
              <w:rPr>
                <w:rFonts w:ascii="Times New Roman;Times;Serif" w:hAnsi="Times New Roman;Times;Serif"/>
                <w:sz w:val="20"/>
              </w:rPr>
              <w:t>Class B ordinary shares that convertible to Class A ordinary were evaluated that conversion had no dilutive impact on Class A 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1" w:name="a_003"/>
      <w:bookmarkEnd w:id="111"/>
      <w:r>
        <w:rPr>
          <w:rFonts w:ascii="Times New Roman;Times;Serif" w:hAnsi="Times New Roman;Times;Serif"/>
          <w:b/>
          <w:i w:val="false"/>
          <w:caps w:val="false"/>
          <w:smallCaps w:val="false"/>
          <w:sz w:val="20"/>
        </w:rPr>
        <w:t>Unaudited Condensed Consolidated Statements of Changes in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 except for the number of shares)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12" w:name="xdx_30E_114_z30rXtkFEER5"/>
      <w:bookmarkStart w:id="113" w:name="xdx_30E_114_z30rXtkFEER5"/>
      <w:bookmarkEnd w:id="113"/>
    </w:p>
    <w:tbl>
      <w:tblPr>
        <w:tblW w:w="11355" w:type="dxa"/>
        <w:jc w:val="left"/>
        <w:tblInd w:w="0" w:type="dxa"/>
        <w:tblLayout w:type="fixed"/>
        <w:tblCellMar>
          <w:top w:w="0" w:type="dxa"/>
          <w:left w:w="0" w:type="dxa"/>
          <w:bottom w:w="0" w:type="dxa"/>
          <w:right w:w="0" w:type="dxa"/>
        </w:tblCellMar>
      </w:tblPr>
      <w:tblGrid>
        <w:gridCol w:w="1145"/>
        <w:gridCol w:w="60"/>
        <w:gridCol w:w="60"/>
        <w:gridCol w:w="980"/>
        <w:gridCol w:w="60"/>
        <w:gridCol w:w="60"/>
        <w:gridCol w:w="239"/>
        <w:gridCol w:w="621"/>
        <w:gridCol w:w="60"/>
        <w:gridCol w:w="60"/>
        <w:gridCol w:w="60"/>
        <w:gridCol w:w="1100"/>
        <w:gridCol w:w="60"/>
        <w:gridCol w:w="60"/>
        <w:gridCol w:w="172"/>
        <w:gridCol w:w="688"/>
        <w:gridCol w:w="60"/>
        <w:gridCol w:w="60"/>
        <w:gridCol w:w="140"/>
        <w:gridCol w:w="1100"/>
        <w:gridCol w:w="60"/>
        <w:gridCol w:w="60"/>
        <w:gridCol w:w="360"/>
        <w:gridCol w:w="1175"/>
        <w:gridCol w:w="95"/>
        <w:gridCol w:w="60"/>
        <w:gridCol w:w="140"/>
        <w:gridCol w:w="1055"/>
        <w:gridCol w:w="95"/>
        <w:gridCol w:w="60"/>
        <w:gridCol w:w="140"/>
        <w:gridCol w:w="1100"/>
        <w:gridCol w:w="110"/>
      </w:tblGrid>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 w:name="xdx_4B0_us-gaap--StatementEquityComponen"/>
            <w:bookmarkEnd w:id="114"/>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 w:name="xdx_4B3_us-gaap--StatementEquityComponen"/>
            <w:bookmarkEnd w:id="115"/>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BB_us-gaap--StatementEquityComponen"/>
            <w:bookmarkEnd w:id="116"/>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2_us-gaap--StatementEquityComponen"/>
            <w:bookmarkEnd w:id="117"/>
          </w:p>
        </w:tc>
        <w:tc>
          <w:tcPr>
            <w:tcW w:w="1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2_us-gaap--StatementEquityComponen"/>
            <w:bookmarkEnd w:id="118"/>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3_zdOgTbcvkOQ2"/>
            <w:bookmarkEnd w:id="11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1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 ordinary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 ordinary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120" w:name="xdx_434_c20250101__20250630_eus-gaap--St"/>
            <w:bookmarkEnd w:id="120"/>
          </w:p>
        </w:tc>
      </w:tr>
      <w:tr>
        <w:trPr/>
        <w:tc>
          <w:tcPr>
            <w:tcW w:w="1145" w:type="dxa"/>
            <w:tcBorders/>
            <w:shd w:fill="CCEEFF" w:val="clear"/>
            <w:vAlign w:val="center"/>
          </w:tcPr>
          <w:p>
            <w:pPr>
              <w:pStyle w:val="TableContents"/>
              <w:bidi w:val="0"/>
              <w:spacing w:before="0" w:after="283"/>
              <w:jc w:val="left"/>
              <w:rPr>
                <w:b/>
              </w:rPr>
            </w:pPr>
            <w:r>
              <w:rPr>
                <w:b/>
              </w:rPr>
              <w:t>Balance as of December 31, 2024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0_eus-gaap--SharesOutstanding_iS_p"/>
            <w:bookmarkEnd w:id="121"/>
          </w:p>
        </w:tc>
        <w:tc>
          <w:tcPr>
            <w:tcW w:w="980" w:type="dxa"/>
            <w:tcBorders/>
            <w:shd w:fill="CCEEFF" w:val="clear"/>
            <w:vAlign w:val="center"/>
          </w:tcPr>
          <w:p>
            <w:pPr>
              <w:pStyle w:val="TableContents"/>
              <w:bidi w:val="0"/>
              <w:spacing w:before="0" w:after="283"/>
              <w:jc w:val="right"/>
              <w:rPr/>
            </w:pPr>
            <w:r>
              <w:rPr/>
              <w:t>7,350,000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2" w:name="xdx_982_eus-gaap--SharesOutstanding_iS_p"/>
            <w:bookmarkEnd w:id="122"/>
          </w:p>
        </w:tc>
        <w:tc>
          <w:tcPr>
            <w:tcW w:w="1100" w:type="dxa"/>
            <w:tcBorders/>
            <w:shd w:fill="CCEEFF" w:val="clear"/>
            <w:vAlign w:val="center"/>
          </w:tcPr>
          <w:p>
            <w:pPr>
              <w:pStyle w:val="TableContents"/>
              <w:bidi w:val="0"/>
              <w:spacing w:before="0" w:after="283"/>
              <w:jc w:val="right"/>
              <w:rPr/>
            </w:pPr>
            <w:r>
              <w:rPr/>
              <w:t>22,650,000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3,997,000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544,717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4,544,862</w:t>
            </w:r>
          </w:p>
        </w:tc>
        <w:tc>
          <w:tcPr>
            <w:tcW w:w="11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E_eus-gaap--NetIncomeLoss_zVn6ju2j"/>
            <w:bookmarkEnd w:id="123"/>
          </w:p>
        </w:tc>
      </w:tr>
      <w:tr>
        <w:trPr/>
        <w:tc>
          <w:tcPr>
            <w:tcW w:w="114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90,987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90,987</w:t>
            </w:r>
          </w:p>
        </w:tc>
        <w:tc>
          <w:tcPr>
            <w:tcW w:w="110" w:type="dxa"/>
            <w:tcBorders/>
            <w:shd w:fill="CCEEFF" w:val="clear"/>
            <w:vAlign w:val="center"/>
          </w:tcPr>
          <w:p>
            <w:pPr>
              <w:pStyle w:val="TableContents"/>
              <w:bidi w:val="0"/>
              <w:spacing w:before="0" w:after="283"/>
              <w:jc w:val="left"/>
              <w:rPr/>
            </w:pPr>
            <w:r>
              <w:rPr/>
              <w:t> </w:t>
            </w:r>
            <w:bookmarkStart w:id="124" w:name="xdx_40F_eus-gaap--OtherComprehensiveInco"/>
            <w:bookmarkEnd w:id="124"/>
          </w:p>
        </w:tc>
      </w:tr>
      <w:tr>
        <w:trPr/>
        <w:tc>
          <w:tcPr>
            <w:tcW w:w="114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bookmarkStart w:id="125" w:name="xdx_405_eus-gaap--StockIssuedDuringPerio"/>
            <w:bookmarkEnd w:id="125"/>
          </w:p>
        </w:tc>
      </w:tr>
      <w:tr>
        <w:trPr/>
        <w:tc>
          <w:tcPr>
            <w:tcW w:w="1145" w:type="dxa"/>
            <w:tcBorders/>
            <w:shd w:fill="CCEEFF" w:val="clear"/>
            <w:vAlign w:val="center"/>
          </w:tcPr>
          <w:p>
            <w:pPr>
              <w:pStyle w:val="TableContents"/>
              <w:bidi w:val="0"/>
              <w:spacing w:before="0" w:after="283"/>
              <w:jc w:val="left"/>
              <w:rPr/>
            </w:pPr>
            <w:r>
              <w:rPr/>
              <w:t>Issuance of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6" w:name="xdx_980_eus-gaap--StockIssuedDuringPerio"/>
            <w:bookmarkEnd w:id="126"/>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single" w:sz="8" w:space="0" w:color="000000"/>
            </w:tcBorders>
            <w:shd w:fill="CCEEFF" w:val="clear"/>
            <w:tcMar>
              <w:bottom w:w="28" w:type="dxa"/>
            </w:tcM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7,666,360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7,666,602</w:t>
            </w:r>
          </w:p>
        </w:tc>
        <w:tc>
          <w:tcPr>
            <w:tcW w:w="11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7" w:name="xdx_438_c20250101__20250630_eus-gaap--St"/>
            <w:bookmarkEnd w:id="127"/>
          </w:p>
        </w:tc>
      </w:tr>
      <w:tr>
        <w:trPr/>
        <w:tc>
          <w:tcPr>
            <w:tcW w:w="1145" w:type="dxa"/>
            <w:tcBorders/>
            <w:shd w:fill="CCEEFF" w:val="clear"/>
            <w:vAlign w:val="center"/>
          </w:tcPr>
          <w:p>
            <w:pPr>
              <w:pStyle w:val="TableContents"/>
              <w:bidi w:val="0"/>
              <w:spacing w:before="0" w:after="283"/>
              <w:jc w:val="left"/>
              <w:rPr>
                <w:b/>
              </w:rPr>
            </w:pPr>
            <w:r>
              <w:rPr>
                <w:b/>
              </w:rPr>
              <w:t>Balance as of June 30, 2025 (unaudited)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8" w:name="xdx_989_eus-gaap--SharesOutstanding_iE_p"/>
            <w:bookmarkEnd w:id="12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9,765,000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double" w:sz="6" w:space="0" w:color="000000"/>
            </w:tcBorders>
            <w:shd w:fill="CCEEFF" w:val="clear"/>
            <w:tcMar>
              <w:bottom w:w="28" w:type="dxa"/>
            </w:tcMar>
            <w:vAlign w:val="center"/>
          </w:tcPr>
          <w:p>
            <w:pPr>
              <w:pStyle w:val="TableContents"/>
              <w:bidi w:val="0"/>
              <w:spacing w:before="0" w:after="283"/>
              <w:jc w:val="right"/>
              <w:rPr/>
            </w:pPr>
            <w:r>
              <w:rPr/>
              <w:t>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9" w:name="xdx_987_eus-gaap--SharesOutstanding_iE_p"/>
            <w:bookmarkEnd w:id="12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jc w:val="right"/>
              <w:rPr/>
            </w:pPr>
            <w:r>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11,663,360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635,704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12,302,598</w:t>
            </w:r>
          </w:p>
        </w:tc>
        <w:tc>
          <w:tcPr>
            <w:tcW w:w="11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0" w:name="xdx_43D_c20260101__20260630_eus-gaap--St"/>
            <w:bookmarkEnd w:id="130"/>
          </w:p>
        </w:tc>
      </w:tr>
      <w:tr>
        <w:trPr/>
        <w:tc>
          <w:tcPr>
            <w:tcW w:w="1145" w:type="dxa"/>
            <w:tcBorders/>
            <w:shd w:fill="CCEEFF" w:val="clear"/>
            <w:vAlign w:val="center"/>
          </w:tcPr>
          <w:p>
            <w:pPr>
              <w:pStyle w:val="TableContents"/>
              <w:bidi w:val="0"/>
              <w:spacing w:before="0" w:after="283"/>
              <w:jc w:val="left"/>
              <w:rPr>
                <w:b/>
              </w:rPr>
            </w:pPr>
            <w:r>
              <w:rPr>
                <w:b/>
              </w:rPr>
              <w:t>Balance as of December 31, 2025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A_eus-gaap--SharesOutstanding_iS_p"/>
            <w:bookmarkEnd w:id="131"/>
          </w:p>
        </w:tc>
        <w:tc>
          <w:tcPr>
            <w:tcW w:w="980" w:type="dxa"/>
            <w:tcBorders/>
            <w:shd w:fill="CCEEFF" w:val="clear"/>
            <w:vAlign w:val="center"/>
          </w:tcPr>
          <w:p>
            <w:pPr>
              <w:pStyle w:val="TableContents"/>
              <w:bidi w:val="0"/>
              <w:spacing w:before="0" w:after="283"/>
              <w:jc w:val="right"/>
              <w:rPr/>
            </w:pPr>
            <w:r>
              <w:rPr/>
              <w:t>9,815,000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A_eus-gaap--SharesOutstanding_iS_p"/>
            <w:bookmarkEnd w:id="132"/>
          </w:p>
        </w:tc>
        <w:tc>
          <w:tcPr>
            <w:tcW w:w="1100" w:type="dxa"/>
            <w:tcBorders/>
            <w:shd w:fill="CCEEFF" w:val="clear"/>
            <w:vAlign w:val="center"/>
          </w:tcPr>
          <w:p>
            <w:pPr>
              <w:pStyle w:val="TableContents"/>
              <w:bidi w:val="0"/>
              <w:spacing w:before="0" w:after="283"/>
              <w:jc w:val="right"/>
              <w:rPr/>
            </w:pPr>
            <w:r>
              <w:rPr/>
              <w:t>22,650,000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11,706,110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(1,205,943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10,502,766</w:t>
            </w:r>
          </w:p>
        </w:tc>
        <w:tc>
          <w:tcPr>
            <w:tcW w:w="110"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3" w:name="xdx_40E_eus-gaap--NetIncomeLoss_zPTqJ2ZV"/>
            <w:bookmarkEnd w:id="133"/>
          </w:p>
        </w:tc>
      </w:tr>
      <w:tr>
        <w:trPr/>
        <w:tc>
          <w:tcPr>
            <w:tcW w:w="114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1,378,204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1,378,204</w:t>
            </w:r>
          </w:p>
        </w:tc>
        <w:tc>
          <w:tcPr>
            <w:tcW w:w="110" w:type="dxa"/>
            <w:tcBorders/>
            <w:shd w:fill="CCEEFF" w:val="clear"/>
            <w:vAlign w:val="center"/>
          </w:tcPr>
          <w:p>
            <w:pPr>
              <w:pStyle w:val="TableContents"/>
              <w:bidi w:val="0"/>
              <w:spacing w:before="0" w:after="283"/>
              <w:jc w:val="left"/>
              <w:rPr/>
            </w:pPr>
            <w:r>
              <w:rPr/>
              <w:t> </w:t>
            </w:r>
            <w:bookmarkStart w:id="134" w:name="xdx_40F_eus-gaap--OtherComprehensiveInco"/>
            <w:bookmarkEnd w:id="134"/>
          </w:p>
        </w:tc>
      </w:tr>
      <w:tr>
        <w:trPr/>
        <w:tc>
          <w:tcPr>
            <w:tcW w:w="114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(265</w:t>
            </w:r>
          </w:p>
        </w:tc>
        <w:tc>
          <w:tcPr>
            <w:tcW w:w="110" w:type="dxa"/>
            <w:tcBorders/>
            <w:shd w:fill="FFFFFF" w:val="clear"/>
            <w:vAlign w:val="center"/>
          </w:tcPr>
          <w:p>
            <w:pPr>
              <w:pStyle w:val="TableContents"/>
              <w:bidi w:val="0"/>
              <w:spacing w:before="0" w:after="283"/>
              <w:jc w:val="left"/>
              <w:rPr/>
            </w:pPr>
            <w:r>
              <w:rPr/>
              <w:t>)</w:t>
            </w:r>
          </w:p>
        </w:tc>
      </w:tr>
      <w:tr>
        <w:trPr/>
        <w:tc>
          <w:tcPr>
            <w:tcW w:w="1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5" w:name="xdx_43E_c20260101__20260630_eus-gaap--St"/>
            <w:bookmarkEnd w:id="135"/>
          </w:p>
        </w:tc>
      </w:tr>
      <w:tr>
        <w:trPr/>
        <w:tc>
          <w:tcPr>
            <w:tcW w:w="1145" w:type="dxa"/>
            <w:tcBorders/>
            <w:shd w:fill="FFFFFF" w:val="clear"/>
            <w:vAlign w:val="center"/>
          </w:tcPr>
          <w:p>
            <w:pPr>
              <w:pStyle w:val="TableContents"/>
              <w:bidi w:val="0"/>
              <w:spacing w:before="0" w:after="283"/>
              <w:jc w:val="left"/>
              <w:rPr>
                <w:b/>
              </w:rPr>
            </w:pPr>
            <w:r>
              <w:rPr>
                <w:b/>
              </w:rPr>
              <w:t>Balance as of June 30, 2026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6" w:name="xdx_98F_eus-gaap--SharesOutstanding_iE_p"/>
            <w:bookmarkEnd w:id="136"/>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9,815,000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1" w:type="dxa"/>
            <w:tcBorders>
              <w:bottom w:val="double" w:sz="6" w:space="0" w:color="000000"/>
            </w:tcBorders>
            <w:shd w:fill="FFFFFF" w:val="clear"/>
            <w:tcMar>
              <w:bottom w:w="28" w:type="dxa"/>
            </w:tcMar>
            <w:vAlign w:val="center"/>
          </w:tcPr>
          <w:p>
            <w:pPr>
              <w:pStyle w:val="TableContents"/>
              <w:bidi w:val="0"/>
              <w:spacing w:before="0" w:after="283"/>
              <w:jc w:val="right"/>
              <w:rPr/>
            </w:pPr>
            <w:r>
              <w:rPr/>
              <w:t>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7" w:name="xdx_98B_eus-gaap--SharesOutstanding_iE_p"/>
            <w:bookmarkEnd w:id="13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22,650,000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2,265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11,706,110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172,261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11,880,705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8" w:name="a_004"/>
      <w:bookmarkEnd w:id="138"/>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U.S. dollar)</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9" w:name="xdx_304_112_zXyOlitOCjek"/>
      <w:bookmarkStart w:id="140" w:name="xdx_304_112_zXyOlitOCjek"/>
      <w:bookmarkEnd w:id="140"/>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9F_20260101__20260630_zExWAuWwojze"/>
            <w:bookmarkEnd w:id="141"/>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 w:name="xdx_493_20250101__20250630_z28AfoFy8lq6"/>
            <w:bookmarkEnd w:id="142"/>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143" w:name="xdx_40F_eus-gaap--NetCashProvidedByUsedI"/>
            <w:bookmarkEnd w:id="143"/>
          </w:p>
        </w:tc>
      </w:tr>
      <w:tr>
        <w:trPr/>
        <w:tc>
          <w:tcPr>
            <w:tcW w:w="725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3_eus-gaap--NetIncomeLoss_i01_maNC"/>
            <w:bookmarkEnd w:id="144"/>
          </w:p>
        </w:tc>
      </w:tr>
      <w:tr>
        <w:trPr/>
        <w:tc>
          <w:tcPr>
            <w:tcW w:w="725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1,378,204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90,987</w:t>
            </w:r>
          </w:p>
        </w:tc>
        <w:tc>
          <w:tcPr>
            <w:tcW w:w="110" w:type="dxa"/>
            <w:tcBorders/>
            <w:shd w:fill="FFFFFF" w:val="clear"/>
            <w:vAlign w:val="center"/>
          </w:tcPr>
          <w:p>
            <w:pPr>
              <w:pStyle w:val="TableContents"/>
              <w:bidi w:val="0"/>
              <w:spacing w:before="0" w:after="283"/>
              <w:jc w:val="left"/>
              <w:rPr/>
            </w:pPr>
            <w:r>
              <w:rPr/>
              <w:t> </w:t>
            </w:r>
            <w:bookmarkStart w:id="145" w:name="xdx_403_eus-gaap--AdjustmentsToReconcile"/>
            <w:bookmarkEnd w:id="145"/>
          </w:p>
        </w:tc>
      </w:tr>
      <w:tr>
        <w:trPr/>
        <w:tc>
          <w:tcPr>
            <w:tcW w:w="7250" w:type="dxa"/>
            <w:tcBorders/>
            <w:shd w:fill="CCEEFF" w:val="clear"/>
            <w:vAlign w:val="center"/>
          </w:tcPr>
          <w:p>
            <w:pPr>
              <w:pStyle w:val="TableContents"/>
              <w:bidi w:val="0"/>
              <w:spacing w:before="0" w:after="283"/>
              <w:jc w:val="left"/>
              <w:rPr/>
            </w:pPr>
            <w:r>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6" w:name="xdx_409_eus-gaap--Depreciation_i02_maNCP"/>
            <w:bookmarkEnd w:id="146"/>
          </w:p>
        </w:tc>
      </w:tr>
      <w:tr>
        <w:trPr/>
        <w:tc>
          <w:tcPr>
            <w:tcW w:w="725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38,781</w:t>
            </w:r>
          </w:p>
        </w:tc>
        <w:tc>
          <w:tcPr>
            <w:tcW w:w="110" w:type="dxa"/>
            <w:tcBorders/>
            <w:shd w:fill="FFFFFF" w:val="clear"/>
            <w:vAlign w:val="center"/>
          </w:tcPr>
          <w:p>
            <w:pPr>
              <w:pStyle w:val="TableContents"/>
              <w:bidi w:val="0"/>
              <w:spacing w:before="0" w:after="283"/>
              <w:jc w:val="left"/>
              <w:rPr/>
            </w:pPr>
            <w:r>
              <w:rPr/>
              <w:t> </w:t>
            </w:r>
            <w:bookmarkStart w:id="147" w:name="xdx_406_eus-gaap--GainLossOnSaleOfProper"/>
            <w:bookmarkEnd w:id="147"/>
          </w:p>
        </w:tc>
      </w:tr>
      <w:tr>
        <w:trPr/>
        <w:tc>
          <w:tcPr>
            <w:tcW w:w="7250" w:type="dxa"/>
            <w:tcBorders/>
            <w:shd w:fill="CCEEFF" w:val="clear"/>
            <w:vAlign w:val="center"/>
          </w:tcPr>
          <w:p>
            <w:pPr>
              <w:pStyle w:val="TableContents"/>
              <w:bidi w:val="0"/>
              <w:spacing w:before="0" w:after="283"/>
              <w:jc w:val="left"/>
              <w:rPr/>
            </w:pPr>
            <w:r>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8" w:name="xdx_40D_ecustom--NoncashOperatingLeaseEx"/>
            <w:bookmarkEnd w:id="148"/>
          </w:p>
        </w:tc>
      </w:tr>
      <w:tr>
        <w:trPr/>
        <w:tc>
          <w:tcPr>
            <w:tcW w:w="7250" w:type="dxa"/>
            <w:tcBorders/>
            <w:shd w:fill="FFFFFF" w:val="clear"/>
            <w:vAlign w:val="center"/>
          </w:tcPr>
          <w:p>
            <w:pPr>
              <w:pStyle w:val="TableContents"/>
              <w:bidi w:val="0"/>
              <w:spacing w:before="0" w:after="283"/>
              <w:jc w:val="left"/>
              <w:rPr/>
            </w:pPr>
            <w:r>
              <w:rPr/>
              <w:t>Non-cash operating lease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48,272</w:t>
            </w:r>
          </w:p>
        </w:tc>
        <w:tc>
          <w:tcPr>
            <w:tcW w:w="110" w:type="dxa"/>
            <w:tcBorders/>
            <w:shd w:fill="FFFFFF" w:val="clear"/>
            <w:vAlign w:val="center"/>
          </w:tcPr>
          <w:p>
            <w:pPr>
              <w:pStyle w:val="TableContents"/>
              <w:bidi w:val="0"/>
              <w:spacing w:before="0" w:after="283"/>
              <w:jc w:val="left"/>
              <w:rPr/>
            </w:pPr>
            <w:r>
              <w:rPr/>
              <w:t> </w:t>
            </w:r>
            <w:bookmarkStart w:id="149" w:name="xdx_40E_eus-gaap--IncreaseDecreaseInOper"/>
            <w:bookmarkEnd w:id="149"/>
          </w:p>
        </w:tc>
      </w:tr>
      <w:tr>
        <w:trPr/>
        <w:tc>
          <w:tcPr>
            <w:tcW w:w="7250"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0" w:name="xdx_406_eus-gaap--IncreaseDecreaseInAcco"/>
            <w:bookmarkEnd w:id="150"/>
          </w:p>
        </w:tc>
      </w:tr>
      <w:tr>
        <w:trPr/>
        <w:tc>
          <w:tcPr>
            <w:tcW w:w="725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(4,959,544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(10,833,041</w:t>
            </w:r>
          </w:p>
        </w:tc>
        <w:tc>
          <w:tcPr>
            <w:tcW w:w="110" w:type="dxa"/>
            <w:tcBorders/>
            <w:shd w:fill="FFFFFF" w:val="clear"/>
            <w:vAlign w:val="center"/>
          </w:tcPr>
          <w:p>
            <w:pPr>
              <w:pStyle w:val="TableContents"/>
              <w:bidi w:val="0"/>
              <w:spacing w:before="0" w:after="283"/>
              <w:jc w:val="left"/>
              <w:rPr/>
            </w:pPr>
            <w:r>
              <w:rPr/>
              <w:t>)</w:t>
            </w:r>
            <w:bookmarkStart w:id="151" w:name="xdx_40C_eus-gaap--IncreaseDecreaseInPrep"/>
            <w:bookmarkEnd w:id="151"/>
          </w:p>
        </w:tc>
      </w:tr>
      <w:tr>
        <w:trPr/>
        <w:tc>
          <w:tcPr>
            <w:tcW w:w="7250" w:type="dxa"/>
            <w:tcBorders/>
            <w:shd w:fill="CCEEFF" w:val="clear"/>
            <w:vAlign w:val="center"/>
          </w:tcPr>
          <w:p>
            <w:pPr>
              <w:pStyle w:val="TableContents"/>
              <w:bidi w:val="0"/>
              <w:spacing w:before="0" w:after="283"/>
              <w:jc w:val="left"/>
              <w:rPr/>
            </w:pPr>
            <w:r>
              <w:rPr/>
              <w:t>Prepayments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(129,019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(1,214,607</w:t>
            </w:r>
          </w:p>
        </w:tc>
        <w:tc>
          <w:tcPr>
            <w:tcW w:w="110" w:type="dxa"/>
            <w:tcBorders/>
            <w:shd w:fill="CCEEFF" w:val="clear"/>
            <w:vAlign w:val="center"/>
          </w:tcPr>
          <w:p>
            <w:pPr>
              <w:pStyle w:val="TableContents"/>
              <w:bidi w:val="0"/>
              <w:spacing w:before="0" w:after="283"/>
              <w:jc w:val="left"/>
              <w:rPr/>
            </w:pPr>
            <w:r>
              <w:rPr/>
              <w:t>)</w:t>
            </w:r>
            <w:bookmarkStart w:id="152" w:name="xdx_40E_eus-gaap--IncreaseDecreaseInAcco"/>
            <w:bookmarkEnd w:id="152"/>
          </w:p>
        </w:tc>
      </w:tr>
      <w:tr>
        <w:trPr/>
        <w:tc>
          <w:tcPr>
            <w:tcW w:w="72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3,761,810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7,285,282</w:t>
            </w:r>
          </w:p>
        </w:tc>
        <w:tc>
          <w:tcPr>
            <w:tcW w:w="110" w:type="dxa"/>
            <w:tcBorders/>
            <w:shd w:fill="FFFFFF" w:val="clear"/>
            <w:vAlign w:val="center"/>
          </w:tcPr>
          <w:p>
            <w:pPr>
              <w:pStyle w:val="TableContents"/>
              <w:bidi w:val="0"/>
              <w:spacing w:before="0" w:after="283"/>
              <w:jc w:val="left"/>
              <w:rPr/>
            </w:pPr>
            <w:r>
              <w:rPr/>
              <w:t> </w:t>
            </w:r>
            <w:bookmarkStart w:id="153" w:name="xdx_407_eus-gaap--IncreaseDecreaseInAccr"/>
            <w:bookmarkEnd w:id="153"/>
          </w:p>
        </w:tc>
      </w:tr>
      <w:tr>
        <w:trPr/>
        <w:tc>
          <w:tcPr>
            <w:tcW w:w="7250" w:type="dxa"/>
            <w:tcBorders/>
            <w:shd w:fill="CCEEFF" w:val="clear"/>
            <w:vAlign w:val="center"/>
          </w:tcPr>
          <w:p>
            <w:pPr>
              <w:pStyle w:val="TableContents"/>
              <w:bidi w:val="0"/>
              <w:spacing w:before="0" w:after="283"/>
              <w:jc w:val="left"/>
              <w:rPr/>
            </w:pPr>
            <w:r>
              <w:rPr/>
              <w:t>Income tax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394,464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56,689</w:t>
            </w:r>
          </w:p>
        </w:tc>
        <w:tc>
          <w:tcPr>
            <w:tcW w:w="110" w:type="dxa"/>
            <w:tcBorders/>
            <w:shd w:fill="CCEEFF" w:val="clear"/>
            <w:vAlign w:val="center"/>
          </w:tcPr>
          <w:p>
            <w:pPr>
              <w:pStyle w:val="TableContents"/>
              <w:bidi w:val="0"/>
              <w:spacing w:before="0" w:after="283"/>
              <w:jc w:val="left"/>
              <w:rPr/>
            </w:pPr>
            <w:r>
              <w:rPr/>
              <w:t> </w:t>
            </w:r>
            <w:bookmarkStart w:id="154" w:name="xdx_408_eus-gaap--IncreaseDecreaseInOper"/>
            <w:bookmarkEnd w:id="154"/>
          </w:p>
        </w:tc>
      </w:tr>
      <w:tr>
        <w:trPr/>
        <w:tc>
          <w:tcPr>
            <w:tcW w:w="725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(59,401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(20,653</w:t>
            </w:r>
          </w:p>
        </w:tc>
        <w:tc>
          <w:tcPr>
            <w:tcW w:w="110" w:type="dxa"/>
            <w:tcBorders/>
            <w:shd w:fill="FFFFFF" w:val="clear"/>
            <w:vAlign w:val="center"/>
          </w:tcPr>
          <w:p>
            <w:pPr>
              <w:pStyle w:val="TableContents"/>
              <w:bidi w:val="0"/>
              <w:spacing w:before="0" w:after="283"/>
              <w:jc w:val="left"/>
              <w:rPr/>
            </w:pPr>
            <w:r>
              <w:rPr/>
              <w:t>)</w:t>
            </w:r>
            <w:bookmarkStart w:id="155" w:name="xdx_403_eus-gaap--IncreaseDecreaseInAccr"/>
            <w:bookmarkEnd w:id="155"/>
          </w:p>
        </w:tc>
      </w:tr>
      <w:tr>
        <w:trPr/>
        <w:tc>
          <w:tcPr>
            <w:tcW w:w="725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(867,935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(179,422</w:t>
            </w:r>
          </w:p>
        </w:tc>
        <w:tc>
          <w:tcPr>
            <w:tcW w:w="110" w:type="dxa"/>
            <w:tcBorders/>
            <w:shd w:fill="CCEEFF" w:val="clear"/>
            <w:vAlign w:val="center"/>
          </w:tcPr>
          <w:p>
            <w:pPr>
              <w:pStyle w:val="TableContents"/>
              <w:bidi w:val="0"/>
              <w:spacing w:before="0" w:after="283"/>
              <w:jc w:val="left"/>
              <w:rPr/>
            </w:pPr>
            <w:r>
              <w:rPr/>
              <w:t>)</w:t>
            </w:r>
            <w:bookmarkStart w:id="156" w:name="xdx_408_eus-gaap--NetCashProvidedByUsedI"/>
            <w:bookmarkEnd w:id="156"/>
          </w:p>
        </w:tc>
      </w:tr>
      <w:tr>
        <w:trPr/>
        <w:tc>
          <w:tcPr>
            <w:tcW w:w="725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(387,776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(4,727,712</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7" w:name="xdx_40A_eus-gaap--NetCashProvidedByUsedI"/>
            <w:bookmarkEnd w:id="157"/>
          </w:p>
        </w:tc>
      </w:tr>
      <w:tr>
        <w:trPr/>
        <w:tc>
          <w:tcPr>
            <w:tcW w:w="725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 w:name="xdx_40A_eus-gaap--PaymentsToAcquirePrope"/>
            <w:bookmarkEnd w:id="158"/>
          </w:p>
        </w:tc>
      </w:tr>
      <w:tr>
        <w:trPr/>
        <w:tc>
          <w:tcPr>
            <w:tcW w:w="725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(127,869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(21,551</w:t>
            </w:r>
          </w:p>
        </w:tc>
        <w:tc>
          <w:tcPr>
            <w:tcW w:w="110" w:type="dxa"/>
            <w:tcBorders/>
            <w:shd w:fill="CCEEFF" w:val="clear"/>
            <w:vAlign w:val="center"/>
          </w:tcPr>
          <w:p>
            <w:pPr>
              <w:pStyle w:val="TableContents"/>
              <w:bidi w:val="0"/>
              <w:spacing w:before="0" w:after="283"/>
              <w:jc w:val="left"/>
              <w:rPr/>
            </w:pPr>
            <w:r>
              <w:rPr/>
              <w:t>)</w:t>
            </w:r>
            <w:bookmarkStart w:id="159" w:name="xdx_40B_eus-gaap--NetCashProvidedByUsedI"/>
            <w:bookmarkEnd w:id="159"/>
          </w:p>
        </w:tc>
      </w:tr>
      <w:tr>
        <w:trPr/>
        <w:tc>
          <w:tcPr>
            <w:tcW w:w="7250" w:type="dxa"/>
            <w:tcBorders/>
            <w:shd w:fill="FFFFFF" w:val="clear"/>
            <w:vAlign w:val="center"/>
          </w:tcPr>
          <w:p>
            <w:pPr>
              <w:pStyle w:val="TableContents"/>
              <w:bidi w:val="0"/>
              <w:spacing w:before="0" w:after="283"/>
              <w:jc w:val="left"/>
              <w:rPr/>
            </w:pPr>
            <w:r>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(127,869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(21,551</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0" w:name="xdx_40E_eus-gaap--NetCashProvidedByUsedI"/>
            <w:bookmarkEnd w:id="160"/>
          </w:p>
        </w:tc>
      </w:tr>
      <w:tr>
        <w:trPr/>
        <w:tc>
          <w:tcPr>
            <w:tcW w:w="725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1" w:name="xdx_40A_eus-gaap--ProceedsFromShortTermD"/>
            <w:bookmarkEnd w:id="161"/>
          </w:p>
        </w:tc>
      </w:tr>
      <w:tr>
        <w:trPr/>
        <w:tc>
          <w:tcPr>
            <w:tcW w:w="7250" w:type="dxa"/>
            <w:tcBorders/>
            <w:shd w:fill="CCEEFF" w:val="clear"/>
            <w:vAlign w:val="center"/>
          </w:tcPr>
          <w:p>
            <w:pPr>
              <w:pStyle w:val="TableContents"/>
              <w:bidi w:val="0"/>
              <w:spacing w:before="0" w:after="283"/>
              <w:jc w:val="left"/>
              <w:rPr/>
            </w:pPr>
            <w:r>
              <w:rPr/>
              <w:t>Proceeds from short-term bank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11,389,788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13,804,671</w:t>
            </w:r>
          </w:p>
        </w:tc>
        <w:tc>
          <w:tcPr>
            <w:tcW w:w="110" w:type="dxa"/>
            <w:tcBorders/>
            <w:shd w:fill="CCEEFF" w:val="clear"/>
            <w:vAlign w:val="center"/>
          </w:tcPr>
          <w:p>
            <w:pPr>
              <w:pStyle w:val="TableContents"/>
              <w:bidi w:val="0"/>
              <w:spacing w:before="0" w:after="283"/>
              <w:jc w:val="left"/>
              <w:rPr/>
            </w:pPr>
            <w:r>
              <w:rPr/>
              <w:t> </w:t>
            </w:r>
            <w:bookmarkStart w:id="162" w:name="xdx_40B_eus-gaap--RepaymentsOfShortTermD"/>
            <w:bookmarkEnd w:id="162"/>
          </w:p>
        </w:tc>
      </w:tr>
      <w:tr>
        <w:trPr/>
        <w:tc>
          <w:tcPr>
            <w:tcW w:w="7250" w:type="dxa"/>
            <w:tcBorders/>
            <w:shd w:fill="FFFFFF" w:val="clear"/>
            <w:vAlign w:val="center"/>
          </w:tcPr>
          <w:p>
            <w:pPr>
              <w:pStyle w:val="TableContents"/>
              <w:bidi w:val="0"/>
              <w:spacing w:before="0" w:after="283"/>
              <w:jc w:val="left"/>
              <w:rPr/>
            </w:pPr>
            <w:r>
              <w:rPr/>
              <w:t>Repayments of short-term bank loans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(11,216,562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(14,493,682</w:t>
            </w:r>
          </w:p>
        </w:tc>
        <w:tc>
          <w:tcPr>
            <w:tcW w:w="110" w:type="dxa"/>
            <w:tcBorders/>
            <w:shd w:fill="FFFFFF" w:val="clear"/>
            <w:vAlign w:val="center"/>
          </w:tcPr>
          <w:p>
            <w:pPr>
              <w:pStyle w:val="TableContents"/>
              <w:bidi w:val="0"/>
              <w:spacing w:before="0" w:after="283"/>
              <w:jc w:val="left"/>
              <w:rPr/>
            </w:pPr>
            <w:r>
              <w:rPr/>
              <w:t>)</w:t>
            </w:r>
            <w:bookmarkStart w:id="163" w:name="xdx_405_eus-gaap--PaymentsOfStockIssuanc"/>
            <w:bookmarkEnd w:id="163"/>
          </w:p>
        </w:tc>
      </w:tr>
      <w:tr>
        <w:trPr/>
        <w:tc>
          <w:tcPr>
            <w:tcW w:w="7250" w:type="dxa"/>
            <w:tcBorders/>
            <w:shd w:fill="CCEEFF" w:val="clear"/>
            <w:vAlign w:val="center"/>
          </w:tcPr>
          <w:p>
            <w:pPr>
              <w:pStyle w:val="TableContents"/>
              <w:bidi w:val="0"/>
              <w:spacing w:before="0" w:after="283"/>
              <w:jc w:val="left"/>
              <w:rPr/>
            </w:pPr>
            <w:r>
              <w:rPr/>
              <w:t>Payment of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4" w:name="xdx_405_eus-gaap--PaymentsForRepurchaseO"/>
            <w:bookmarkEnd w:id="164"/>
          </w:p>
        </w:tc>
      </w:tr>
      <w:tr>
        <w:trPr/>
        <w:tc>
          <w:tcPr>
            <w:tcW w:w="7250" w:type="dxa"/>
            <w:tcBorders/>
            <w:shd w:fill="FFFFFF" w:val="clear"/>
            <w:vAlign w:val="center"/>
          </w:tcPr>
          <w:p>
            <w:pPr>
              <w:pStyle w:val="TableContents"/>
              <w:bidi w:val="0"/>
              <w:spacing w:before="0" w:after="283"/>
              <w:jc w:val="left"/>
              <w:rPr/>
            </w:pPr>
            <w:r>
              <w:rPr/>
              <w:t>Payment of offering costs related to Initial Public Offering (“IPO”)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(1,511,215</w:t>
            </w:r>
          </w:p>
        </w:tc>
        <w:tc>
          <w:tcPr>
            <w:tcW w:w="110" w:type="dxa"/>
            <w:tcBorders/>
            <w:shd w:fill="FFFFFF" w:val="clear"/>
            <w:vAlign w:val="center"/>
          </w:tcPr>
          <w:p>
            <w:pPr>
              <w:pStyle w:val="TableContents"/>
              <w:bidi w:val="0"/>
              <w:spacing w:before="0" w:after="283"/>
              <w:jc w:val="left"/>
              <w:rPr/>
            </w:pPr>
            <w:r>
              <w:rPr/>
              <w:t>)</w:t>
            </w:r>
            <w:bookmarkStart w:id="165" w:name="xdx_404_eus-gaap--ProceedsFromIssuanceOf"/>
            <w:bookmarkEnd w:id="165"/>
          </w:p>
        </w:tc>
      </w:tr>
      <w:tr>
        <w:trPr/>
        <w:tc>
          <w:tcPr>
            <w:tcW w:w="7250" w:type="dxa"/>
            <w:tcBorders/>
            <w:shd w:fill="CCEEFF" w:val="clear"/>
            <w:vAlign w:val="center"/>
          </w:tcPr>
          <w:p>
            <w:pPr>
              <w:pStyle w:val="TableContents"/>
              <w:bidi w:val="0"/>
              <w:spacing w:before="0" w:after="283"/>
              <w:jc w:val="left"/>
              <w:rPr/>
            </w:pPr>
            <w:r>
              <w:rPr/>
              <w:t>Proceeds from issuance of ordinary shares related to IPO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9,660,000</w:t>
            </w:r>
          </w:p>
        </w:tc>
        <w:tc>
          <w:tcPr>
            <w:tcW w:w="110" w:type="dxa"/>
            <w:tcBorders/>
            <w:shd w:fill="CCEEFF" w:val="clear"/>
            <w:vAlign w:val="center"/>
          </w:tcPr>
          <w:p>
            <w:pPr>
              <w:pStyle w:val="TableContents"/>
              <w:bidi w:val="0"/>
              <w:spacing w:before="0" w:after="283"/>
              <w:jc w:val="left"/>
              <w:rPr/>
            </w:pPr>
            <w:r>
              <w:rPr/>
              <w:t> </w:t>
            </w:r>
            <w:bookmarkStart w:id="166" w:name="xdx_409_eus-gaap--RepaymentsOfRelatedPar"/>
            <w:bookmarkEnd w:id="166"/>
          </w:p>
        </w:tc>
      </w:tr>
      <w:tr>
        <w:trPr/>
        <w:tc>
          <w:tcPr>
            <w:tcW w:w="7250" w:type="dxa"/>
            <w:tcBorders/>
            <w:shd w:fill="FFFFFF" w:val="clear"/>
            <w:vAlign w:val="center"/>
          </w:tcPr>
          <w:p>
            <w:pPr>
              <w:pStyle w:val="TableContents"/>
              <w:bidi w:val="0"/>
              <w:spacing w:before="0" w:after="283"/>
              <w:jc w:val="left"/>
              <w:rPr/>
            </w:pPr>
            <w:r>
              <w:rPr/>
              <w:t>Repayment of borrowings from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(276,131</w:t>
            </w:r>
          </w:p>
        </w:tc>
        <w:tc>
          <w:tcPr>
            <w:tcW w:w="110" w:type="dxa"/>
            <w:tcBorders/>
            <w:shd w:fill="FFFFFF" w:val="clear"/>
            <w:vAlign w:val="center"/>
          </w:tcPr>
          <w:p>
            <w:pPr>
              <w:pStyle w:val="TableContents"/>
              <w:bidi w:val="0"/>
              <w:spacing w:before="0" w:after="283"/>
              <w:jc w:val="left"/>
              <w:rPr/>
            </w:pPr>
            <w:r>
              <w:rPr/>
              <w:t>)</w:t>
            </w:r>
            <w:bookmarkStart w:id="167" w:name="xdx_40F_eus-gaap--NetCashProvidedByUsedI"/>
            <w:bookmarkEnd w:id="167"/>
          </w:p>
        </w:tc>
      </w:tr>
      <w:tr>
        <w:trPr/>
        <w:tc>
          <w:tcPr>
            <w:tcW w:w="725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7,183,643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8" w:name="xdx_403_eus-gaap--CashCashEquivalentsRes"/>
            <w:bookmarkEnd w:id="168"/>
          </w:p>
        </w:tc>
      </w:tr>
      <w:tr>
        <w:trPr/>
        <w:tc>
          <w:tcPr>
            <w:tcW w:w="7250" w:type="dxa"/>
            <w:tcBorders/>
            <w:shd w:fill="CCEEFF" w:val="clear"/>
            <w:vAlign w:val="center"/>
          </w:tcPr>
          <w:p>
            <w:pPr>
              <w:pStyle w:val="TableContents"/>
              <w:bidi w:val="0"/>
              <w:spacing w:before="0" w:after="283"/>
              <w:jc w:val="left"/>
              <w:rPr/>
            </w:pPr>
            <w:r>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(356,229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2,434,380</w:t>
            </w:r>
          </w:p>
        </w:tc>
        <w:tc>
          <w:tcPr>
            <w:tcW w:w="110" w:type="dxa"/>
            <w:tcBorders/>
            <w:shd w:fill="CCEEFF" w:val="clear"/>
            <w:vAlign w:val="center"/>
          </w:tcPr>
          <w:p>
            <w:pPr>
              <w:pStyle w:val="TableContents"/>
              <w:bidi w:val="0"/>
              <w:spacing w:before="0" w:after="283"/>
              <w:jc w:val="left"/>
              <w:rPr/>
            </w:pPr>
            <w:r>
              <w:rPr/>
              <w:t> </w:t>
            </w:r>
            <w:bookmarkStart w:id="169" w:name="xdx_400_eus-gaap--EffectOfExchangeRateOn"/>
            <w:bookmarkEnd w:id="169"/>
          </w:p>
        </w:tc>
      </w:tr>
      <w:tr>
        <w:trPr/>
        <w:tc>
          <w:tcPr>
            <w:tcW w:w="7250" w:type="dxa"/>
            <w:tcBorders/>
            <w:shd w:fill="FFFFFF" w:val="clear"/>
            <w:vAlign w:val="center"/>
          </w:tcPr>
          <w:p>
            <w:pPr>
              <w:pStyle w:val="TableContents"/>
              <w:bidi w:val="0"/>
              <w:spacing w:before="0" w:after="283"/>
              <w:jc w:val="left"/>
              <w:rPr/>
            </w:pPr>
            <w:r>
              <w:rPr/>
              <w:t>Effect of exchange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0" w:name="xdx_40B_eus-gaap--CashCashEquivalentsRes"/>
            <w:bookmarkEnd w:id="170"/>
          </w:p>
        </w:tc>
      </w:tr>
      <w:tr>
        <w:trPr/>
        <w:tc>
          <w:tcPr>
            <w:tcW w:w="7250"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12,542,539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4,324,956</w:t>
            </w:r>
          </w:p>
        </w:tc>
        <w:tc>
          <w:tcPr>
            <w:tcW w:w="110" w:type="dxa"/>
            <w:tcBorders/>
            <w:shd w:fill="CCEEFF" w:val="clear"/>
            <w:vAlign w:val="center"/>
          </w:tcPr>
          <w:p>
            <w:pPr>
              <w:pStyle w:val="TableContents"/>
              <w:bidi w:val="0"/>
              <w:spacing w:before="0" w:after="283"/>
              <w:jc w:val="left"/>
              <w:rPr/>
            </w:pPr>
            <w:r>
              <w:rPr/>
              <w:t> </w:t>
            </w:r>
            <w:bookmarkStart w:id="171" w:name="xdx_402_eus-gaap--CashCashEquivalentsRes"/>
            <w:bookmarkEnd w:id="171"/>
          </w:p>
        </w:tc>
      </w:tr>
      <w:tr>
        <w:trPr/>
        <w:tc>
          <w:tcPr>
            <w:tcW w:w="7250"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12,185,940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6,759,336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 w:name="xdx_40F_eus-gaap--SupplementalCashFlowIn"/>
            <w:bookmarkEnd w:id="172"/>
          </w:p>
        </w:tc>
      </w:tr>
      <w:tr>
        <w:trPr/>
        <w:tc>
          <w:tcPr>
            <w:tcW w:w="7250"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3" w:name="xdx_409_eus-gaap--IncomeTaxesPaidNet_i01"/>
            <w:bookmarkEnd w:id="173"/>
          </w:p>
        </w:tc>
      </w:tr>
      <w:tr>
        <w:trPr/>
        <w:tc>
          <w:tcPr>
            <w:tcW w:w="7250"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117,512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300,848</w:t>
            </w:r>
          </w:p>
        </w:tc>
        <w:tc>
          <w:tcPr>
            <w:tcW w:w="110" w:type="dxa"/>
            <w:tcBorders/>
            <w:shd w:fill="CCEEFF" w:val="clear"/>
            <w:vAlign w:val="center"/>
          </w:tcPr>
          <w:p>
            <w:pPr>
              <w:pStyle w:val="TableContents"/>
              <w:bidi w:val="0"/>
              <w:spacing w:before="0" w:after="283"/>
              <w:jc w:val="left"/>
              <w:rPr/>
            </w:pPr>
            <w:r>
              <w:rPr/>
              <w:t> </w:t>
            </w:r>
            <w:bookmarkStart w:id="174" w:name="xdx_408_eus-gaap--InterestPaidNet_i01_zC"/>
            <w:bookmarkEnd w:id="174"/>
          </w:p>
        </w:tc>
      </w:tr>
      <w:tr>
        <w:trPr/>
        <w:tc>
          <w:tcPr>
            <w:tcW w:w="7250" w:type="dxa"/>
            <w:tcBorders/>
            <w:shd w:fill="FFFFFF" w:val="clear"/>
            <w:vAlign w:val="center"/>
          </w:tcPr>
          <w:p>
            <w:pPr>
              <w:pStyle w:val="TableContents"/>
              <w:bidi w:val="0"/>
              <w:spacing w:before="0" w:after="283"/>
              <w:jc w:val="left"/>
              <w:rPr/>
            </w:pPr>
            <w:r>
              <w:rPr/>
              <w:t>Interest expense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29,272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38,871</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5" w:name="xdx_408_eus-gaap--CashFlowNoncashInvesti"/>
            <w:bookmarkEnd w:id="175"/>
          </w:p>
        </w:tc>
      </w:tr>
      <w:tr>
        <w:trPr/>
        <w:tc>
          <w:tcPr>
            <w:tcW w:w="7250" w:type="dxa"/>
            <w:tcBorders/>
            <w:shd w:fill="FFFFFF" w:val="clear"/>
            <w:vAlign w:val="center"/>
          </w:tcPr>
          <w:p>
            <w:pPr>
              <w:pStyle w:val="TableContents"/>
              <w:bidi w:val="0"/>
              <w:spacing w:before="0" w:after="283"/>
              <w:jc w:val="left"/>
              <w:rPr>
                <w:b/>
              </w:rPr>
            </w:pPr>
            <w:r>
              <w:rPr>
                <w:b/>
              </w:rPr>
              <w:t>Supplemental disclosures of non-cash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6" w:name="xdx_40F_eus-gaap--RightOfUseAssetObtaine"/>
            <w:bookmarkEnd w:id="176"/>
          </w:p>
        </w:tc>
      </w:tr>
      <w:tr>
        <w:trPr/>
        <w:tc>
          <w:tcPr>
            <w:tcW w:w="7250"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1,023,997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7" w:name="a_005"/>
      <w:bookmarkEnd w:id="177"/>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8" w:name="xdx_80F_eus-gaap--OrganizationConsolidat"/>
      <w:bookmarkEnd w:id="178"/>
      <w:r>
        <w:rPr>
          <w:rFonts w:ascii="Times New Roman;Times;Serif" w:hAnsi="Times New Roman;Times;Serif"/>
          <w:b/>
          <w:i w:val="false"/>
          <w:caps w:val="false"/>
          <w:smallCaps w:val="false"/>
          <w:sz w:val="20"/>
        </w:rPr>
        <w:t xml:space="preserve">1. </w:t>
      </w:r>
      <w:bookmarkStart w:id="179" w:name="xdx_826_zySLJomwJhV6"/>
      <w:bookmarkEnd w:id="179"/>
      <w:r>
        <w:rPr>
          <w:rFonts w:ascii="Times New Roman;Times;Serif" w:hAnsi="Times New Roman;Times;Serif"/>
          <w:b/>
          <w:i w:val="false"/>
          <w:caps w:val="false"/>
          <w:smallCaps w:val="false"/>
          <w:sz w:val="20"/>
        </w:rPr>
        <w:t>Organization and 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 (“Uni-Fuels Holdings”) (“the Company”) is a company incorporated in the Cayman Islands with limited liability on March 8, 2024. Uni-Fuels Holdings is a parent holding company with no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together with its subsidiaries (collectively, “the Group”) operating across Singapore, Seoul, Shanghai, Dubai, Limassol and Bangkok with ship bunkering as its primary business activity. The Group is a global provider of marine fuel solutions to shipping companies, integrating supply logistics and tailored solutions, to help its customers optimize their marine fuel procurement covering all markets across all time zones. The Group primarily generates sales income by selling marine fuels to its customers and receives brokerage commissions by referring shipping companies to its customers through its key operating subsidiaries in Singapore and Dubai.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80" w:name="xdx_896_eus-gaap--EquityMethodInvestment"/>
      <w:bookmarkEnd w:id="180"/>
      <w:r>
        <w:rPr>
          <w:rFonts w:ascii="Times New Roman;Times;Serif" w:hAnsi="Times New Roman;Times;Serif"/>
          <w:b w:val="false"/>
          <w:i w:val="false"/>
          <w:caps w:val="false"/>
          <w:smallCaps w:val="false"/>
          <w:sz w:val="20"/>
        </w:rPr>
        <w:t>The consolidated financial statements of the Company include the following entities:</w:t>
      </w:r>
    </w:p>
    <w:p>
      <w:pPr>
        <w:pStyle w:val="TextBody"/>
        <w:bidi w:val="0"/>
        <w:spacing w:before="0" w:after="0"/>
        <w:ind w:left="0" w:right="0" w:hanging="0"/>
        <w:jc w:val="left"/>
        <w:rPr>
          <w:caps w:val="false"/>
          <w:smallCaps w:val="false"/>
        </w:rPr>
      </w:pPr>
      <w:r>
        <w:rPr>
          <w:caps w:val="false"/>
          <w:smallCaps w:val="false"/>
        </w:rPr>
        <w:t> </w:t>
      </w:r>
      <w:bookmarkStart w:id="181" w:name="xdx_8B3_zPCsrzlAKNN6"/>
      <w:bookmarkEnd w:id="181"/>
      <w:r>
        <w:rPr>
          <w:rFonts w:ascii="Times New Roman;Times;Serif" w:hAnsi="Times New Roman;Times;Serif"/>
          <w:b w:val="false"/>
          <w:i w:val="false"/>
          <w:caps w:val="false"/>
          <w:smallCaps w:val="false"/>
          <w:sz w:val="20"/>
        </w:rPr>
        <w:t>Schedule of Consolidated Financial Statements </w:t>
      </w:r>
    </w:p>
    <w:tbl>
      <w:tblPr>
        <w:tblW w:w="10205" w:type="dxa"/>
        <w:jc w:val="left"/>
        <w:tblInd w:w="0" w:type="dxa"/>
        <w:tblLayout w:type="fixed"/>
        <w:tblCellMar>
          <w:top w:w="0" w:type="dxa"/>
          <w:left w:w="0" w:type="dxa"/>
          <w:bottom w:w="28" w:type="dxa"/>
          <w:right w:w="0" w:type="dxa"/>
        </w:tblCellMar>
      </w:tblPr>
      <w:tblGrid>
        <w:gridCol w:w="2262"/>
        <w:gridCol w:w="60"/>
        <w:gridCol w:w="1365"/>
        <w:gridCol w:w="60"/>
        <w:gridCol w:w="1221"/>
        <w:gridCol w:w="60"/>
        <w:gridCol w:w="142"/>
        <w:gridCol w:w="793"/>
        <w:gridCol w:w="185"/>
        <w:gridCol w:w="60"/>
        <w:gridCol w:w="3997"/>
      </w:tblGrid>
      <w:tr>
        <w:trPr/>
        <w:tc>
          <w:tcPr>
            <w:tcW w:w="226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br/>
              <w:t>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9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22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Group Inc (“Uni-Fuels Group”)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2" w:name="xdx_900_edei--EntityIncorporationDateOfI"/>
            <w:bookmarkEnd w:id="182"/>
            <w:r>
              <w:rPr>
                <w:rFonts w:ascii="Times New Roman;Times;Serif" w:hAnsi="Times New Roman;Times;Serif"/>
                <w:b w:val="false"/>
                <w:i w:val="false"/>
                <w:caps w:val="false"/>
                <w:smallCaps w:val="false"/>
                <w:sz w:val="20"/>
              </w:rPr>
              <w:t>February 5,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83" w:name="xdx_984_ecustom--EquityMethodInvestmentP"/>
            <w:bookmarkEnd w:id="183"/>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84" w:name="xdx_98E_eus-gaap--EquityMethodInvestment"/>
            <w:bookmarkEnd w:id="184"/>
          </w:p>
        </w:tc>
        <w:tc>
          <w:tcPr>
            <w:tcW w:w="7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85" w:name="xdx_98F_eus-gaap--EquityMethodInvestment"/>
            <w:bookmarkEnd w:id="185"/>
          </w:p>
        </w:tc>
        <w:tc>
          <w:tcPr>
            <w:tcW w:w="3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holding company</w:t>
            </w:r>
          </w:p>
        </w:tc>
      </w:tr>
      <w:tr>
        <w:trPr/>
        <w:tc>
          <w:tcPr>
            <w:tcW w:w="22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Pte. Ltd. (“Uni-Fuels”)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6" w:name="xdx_902_edei--EntityIncorporationDateOfI"/>
            <w:bookmarkEnd w:id="186"/>
            <w:r>
              <w:rPr>
                <w:rFonts w:ascii="Times New Roman;Times;Serif" w:hAnsi="Times New Roman;Times;Serif"/>
                <w:b w:val="false"/>
                <w:i w:val="false"/>
                <w:caps w:val="false"/>
                <w:smallCaps w:val="false"/>
                <w:sz w:val="20"/>
              </w:rPr>
              <w:t>October 12, 2021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87" w:name="xdx_984_ecustom--EquityMethodInvestmentP"/>
            <w:bookmarkEnd w:id="187"/>
          </w:p>
        </w:tc>
        <w:tc>
          <w:tcPr>
            <w:tcW w:w="122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88" w:name="xdx_98E_eus-gaap--EquityMethodInvestment"/>
            <w:bookmarkEnd w:id="188"/>
          </w:p>
        </w:tc>
        <w:tc>
          <w:tcPr>
            <w:tcW w:w="79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89" w:name="xdx_98B_eus-gaap--EquityMethodInvestment"/>
            <w:bookmarkEnd w:id="189"/>
          </w:p>
        </w:tc>
        <w:tc>
          <w:tcPr>
            <w:tcW w:w="39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 bunkering as marine fuels supplier and broker</w:t>
            </w:r>
          </w:p>
        </w:tc>
      </w:tr>
      <w:tr>
        <w:trPr/>
        <w:tc>
          <w:tcPr>
            <w:tcW w:w="22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Pte. Ltd. (Branch)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0" w:name="xdx_903_edei--EntityIncorporationDateOfI"/>
            <w:bookmarkEnd w:id="190"/>
            <w:r>
              <w:rPr>
                <w:rFonts w:ascii="Times New Roman;Times;Serif" w:hAnsi="Times New Roman;Times;Serif"/>
                <w:b w:val="false"/>
                <w:i w:val="false"/>
                <w:caps w:val="false"/>
                <w:smallCaps w:val="false"/>
                <w:sz w:val="20"/>
              </w:rPr>
              <w:t>March 21,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91" w:name="xdx_98C_ecustom--EquityMethodInvestmentP"/>
            <w:bookmarkEnd w:id="191"/>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Korea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92" w:name="xdx_980_eus-gaap--EquityMethodInvestment"/>
            <w:bookmarkEnd w:id="192"/>
          </w:p>
        </w:tc>
        <w:tc>
          <w:tcPr>
            <w:tcW w:w="7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93" w:name="xdx_981_eus-gaap--EquityMethodInvestment"/>
            <w:bookmarkEnd w:id="193"/>
          </w:p>
        </w:tc>
        <w:tc>
          <w:tcPr>
            <w:tcW w:w="3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 bunkering and service provider of marine fuels solutions</w:t>
            </w:r>
          </w:p>
        </w:tc>
      </w:tr>
      <w:tr>
        <w:trPr/>
        <w:tc>
          <w:tcPr>
            <w:tcW w:w="22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Uni-Fuels (Shanghai) Co., Ltd.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4" w:name="xdx_906_edei--EntityIncorporationDateOfI"/>
            <w:bookmarkEnd w:id="194"/>
            <w:r>
              <w:rPr>
                <w:rFonts w:ascii="Times New Roman;Times;Serif" w:hAnsi="Times New Roman;Times;Serif"/>
                <w:b w:val="false"/>
                <w:i w:val="false"/>
                <w:caps w:val="false"/>
                <w:smallCaps w:val="false"/>
                <w:sz w:val="20"/>
              </w:rPr>
              <w:t>February 11,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95" w:name="xdx_982_ecustom--EquityMethodInvestmentP"/>
            <w:bookmarkEnd w:id="195"/>
          </w:p>
        </w:tc>
        <w:tc>
          <w:tcPr>
            <w:tcW w:w="122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96" w:name="xdx_983_eus-gaap--EquityMethodInvestment"/>
            <w:bookmarkEnd w:id="196"/>
          </w:p>
        </w:tc>
        <w:tc>
          <w:tcPr>
            <w:tcW w:w="79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97" w:name="xdx_984_eus-gaap--EquityMethodInvestment"/>
            <w:bookmarkEnd w:id="197"/>
          </w:p>
        </w:tc>
        <w:tc>
          <w:tcPr>
            <w:tcW w:w="39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petroleum products</w:t>
            </w:r>
          </w:p>
        </w:tc>
      </w:tr>
      <w:tr>
        <w:trPr/>
        <w:tc>
          <w:tcPr>
            <w:tcW w:w="22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Middle East FZCO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8" w:name="xdx_900_edei--EntityIncorporationDateOfI"/>
            <w:bookmarkEnd w:id="198"/>
            <w:r>
              <w:rPr>
                <w:rFonts w:ascii="Times New Roman;Times;Serif" w:hAnsi="Times New Roman;Times;Serif"/>
                <w:b w:val="false"/>
                <w:i w:val="false"/>
                <w:caps w:val="false"/>
                <w:smallCaps w:val="false"/>
                <w:sz w:val="20"/>
              </w:rPr>
              <w:t>February 14,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199" w:name="xdx_984_ecustom--EquityMethodInvestmentP"/>
            <w:bookmarkEnd w:id="199"/>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UAE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200" w:name="xdx_988_eus-gaap--EquityMethodInvestment"/>
            <w:bookmarkEnd w:id="200"/>
          </w:p>
        </w:tc>
        <w:tc>
          <w:tcPr>
            <w:tcW w:w="7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201" w:name="xdx_980_eus-gaap--EquityMethodInvestment"/>
            <w:bookmarkEnd w:id="201"/>
          </w:p>
        </w:tc>
        <w:tc>
          <w:tcPr>
            <w:tcW w:w="3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supply services</w:t>
            </w:r>
          </w:p>
        </w:tc>
      </w:tr>
      <w:tr>
        <w:trPr/>
        <w:tc>
          <w:tcPr>
            <w:tcW w:w="2262"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2" w:name="xdx_901_edei--EntityIncorporationDateOfI"/>
            <w:bookmarkEnd w:id="202"/>
            <w:r>
              <w:rPr>
                <w:rFonts w:ascii="Times New Roman;Times;Serif" w:hAnsi="Times New Roman;Times;Serif"/>
                <w:b w:val="false"/>
                <w:i w:val="false"/>
                <w:caps w:val="false"/>
                <w:smallCaps w:val="false"/>
                <w:sz w:val="20"/>
              </w:rPr>
              <w:t>June 11,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03" w:name="xdx_980_ecustom--EquityMethodInvestmentP"/>
            <w:bookmarkEnd w:id="203"/>
          </w:p>
        </w:tc>
        <w:tc>
          <w:tcPr>
            <w:tcW w:w="12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Cyprus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04" w:name="xdx_989_eus-gaap--EquityMethodInvestment"/>
            <w:bookmarkEnd w:id="204"/>
          </w:p>
        </w:tc>
        <w:tc>
          <w:tcPr>
            <w:tcW w:w="793"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05" w:name="xdx_98A_eus-gaap--EquityMethodInvestment"/>
            <w:bookmarkEnd w:id="205"/>
          </w:p>
        </w:tc>
        <w:tc>
          <w:tcPr>
            <w:tcW w:w="399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 of marine fuels solutions</w:t>
            </w:r>
          </w:p>
        </w:tc>
      </w:tr>
      <w:tr>
        <w:trPr/>
        <w:tc>
          <w:tcPr>
            <w:tcW w:w="22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(Thailand) Co.,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6" w:name="xdx_909_edei--EntityIncorporationDateOfI"/>
            <w:bookmarkEnd w:id="206"/>
            <w:r>
              <w:rPr>
                <w:rFonts w:ascii="Times New Roman;Times;Serif" w:hAnsi="Times New Roman;Times;Serif"/>
                <w:b w:val="false"/>
                <w:i w:val="false"/>
                <w:caps w:val="false"/>
                <w:smallCaps w:val="false"/>
                <w:sz w:val="20"/>
              </w:rPr>
              <w:t>January 23,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207" w:name="xdx_982_ecustom--EquityMethodInvestmentP"/>
            <w:bookmarkEnd w:id="207"/>
          </w:p>
        </w:tc>
        <w:tc>
          <w:tcPr>
            <w:tcW w:w="122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Thailand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208" w:name="xdx_98E_eus-gaap--EquityMethodInvestment"/>
            <w:bookmarkEnd w:id="208"/>
          </w:p>
        </w:tc>
        <w:tc>
          <w:tcPr>
            <w:tcW w:w="79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209" w:name="xdx_98A_eus-gaap--EquityMethodInvestment"/>
            <w:bookmarkEnd w:id="209"/>
          </w:p>
        </w:tc>
        <w:tc>
          <w:tcPr>
            <w:tcW w:w="39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Provider of marine fuel services in shipping and maritime transportation sectors</w:t>
            </w:r>
          </w:p>
        </w:tc>
      </w:tr>
    </w:tbl>
    <w:p>
      <w:pPr>
        <w:pStyle w:val="TextBody"/>
        <w:bidi w:val="0"/>
        <w:spacing w:before="0" w:after="0"/>
        <w:ind w:left="0" w:right="0" w:firstLine="486"/>
        <w:jc w:val="both"/>
        <w:rPr>
          <w:caps w:val="false"/>
          <w:smallCaps w:val="false"/>
        </w:rPr>
      </w:pPr>
      <w:bookmarkStart w:id="210" w:name="xdx_8A6_zvflKqWtDDI"/>
      <w:bookmarkEnd w:id="210"/>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Reorganization was completed on April 18, 2024 through a series of planned transactions. As a result of the Reorganization, the Company has become the holding company for all previously mentioned entities. The primary objective of the Reorganization was to transfer </w:t>
      </w:r>
      <w:bookmarkStart w:id="211" w:name="xdx_904_eus-gaap--EquityMethodInvestment"/>
      <w:bookmarkEnd w:id="211"/>
      <w:r>
        <w:rPr>
          <w:rFonts w:ascii="Times New Roman;Times;Serif" w:hAnsi="Times New Roman;Times;Serif"/>
          <w:b w:val="false"/>
          <w:i w:val="false"/>
          <w:caps w:val="false"/>
          <w:smallCaps w:val="false"/>
          <w:sz w:val="20"/>
        </w:rPr>
        <w:t>100% ownership of Uni-Fuels to the Company, enabling the Company to serve as the issuer for its planned initial public offering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before the Reorganization, Uni-Fuels was wholly owned and controlled by Kuan Hua KOH and functioned as the operational entity for all the Group’s business activities. The Company and Uni-Fuels Group were established on March 8, 2024, and February 5, 2024, respectively, by a registered agent in the Cayman Islands, with the sole purpose of acting as holding companies for the Group. On March 14, 2024, </w:t>
      </w:r>
      <w:bookmarkStart w:id="212" w:name="xdx_908_eus-gaap--EquityMethodInvestment"/>
      <w:bookmarkEnd w:id="212"/>
      <w:r>
        <w:rPr>
          <w:rFonts w:ascii="Times New Roman;Times;Serif" w:hAnsi="Times New Roman;Times;Serif"/>
          <w:b w:val="false"/>
          <w:i w:val="false"/>
          <w:caps w:val="false"/>
          <w:smallCaps w:val="false"/>
          <w:sz w:val="20"/>
        </w:rPr>
        <w:t xml:space="preserve">100% ownership of Uni-Fuels Holdings, which at the time also held </w:t>
      </w:r>
      <w:bookmarkStart w:id="213" w:name="xdx_900_eus-gaap--EquityMethodInvestment"/>
      <w:bookmarkEnd w:id="213"/>
      <w:r>
        <w:rPr>
          <w:rFonts w:ascii="Times New Roman;Times;Serif" w:hAnsi="Times New Roman;Times;Serif"/>
          <w:b w:val="false"/>
          <w:i w:val="false"/>
          <w:caps w:val="false"/>
          <w:smallCaps w:val="false"/>
          <w:sz w:val="20"/>
        </w:rPr>
        <w:t xml:space="preserve">100% ownership interest in Uni-Fuels Group, was transferred from the registered agent to Garden City Private Capital Limited, which is controlled by Kuan Hua KOH. Both the Company and Uni-Fuels Gorup had not engaged in any business activities before the transfer. On April 18, 2024, Kuan Hua KOH transferred </w:t>
      </w:r>
      <w:bookmarkStart w:id="214" w:name="xdx_904_eus-gaap--EquityMethodInvestment"/>
      <w:bookmarkEnd w:id="214"/>
      <w:r>
        <w:rPr>
          <w:rFonts w:ascii="Times New Roman;Times;Serif" w:hAnsi="Times New Roman;Times;Serif"/>
          <w:b w:val="false"/>
          <w:i w:val="false"/>
          <w:caps w:val="false"/>
          <w:smallCaps w:val="false"/>
          <w:sz w:val="20"/>
        </w:rPr>
        <w:t>100% ownership interest in Uni-Fuels to Uni-Fuels Group, thereby completing the 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before and after the Reorganization, the Company, Uni-Fuels Group, and Uni-Fuels remained under the complete ownership and control of Kuan Hua KOH. Consequently, the Reorganization is classified as a common control transaction under ASC 805-50.</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Description of Business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15, 2025, the Company consummated its initial public offering (“IPO”) of </w:t>
      </w:r>
      <w:bookmarkStart w:id="215" w:name="xdx_909_eus-gaap--SaleOfStockNumberOfSha"/>
      <w:bookmarkEnd w:id="215"/>
      <w:r>
        <w:rPr>
          <w:rFonts w:ascii="Times New Roman;Times;Serif" w:hAnsi="Times New Roman;Times;Serif"/>
          <w:b w:val="false"/>
          <w:i w:val="false"/>
          <w:caps w:val="false"/>
          <w:smallCaps w:val="false"/>
          <w:sz w:val="20"/>
        </w:rPr>
        <w:t>2,100,000 Class A Ordinary Shares at an offering price of $</w:t>
      </w:r>
      <w:bookmarkStart w:id="216" w:name="xdx_905_eus-gaap--SaleOfStockPricePerSha"/>
      <w:bookmarkEnd w:id="216"/>
      <w:r>
        <w:rPr>
          <w:rFonts w:ascii="Times New Roman;Times;Serif" w:hAnsi="Times New Roman;Times;Serif"/>
          <w:b w:val="false"/>
          <w:i w:val="false"/>
          <w:caps w:val="false"/>
          <w:smallCaps w:val="false"/>
          <w:sz w:val="20"/>
        </w:rPr>
        <w:t>4 per share, generating gross proceeds of $</w:t>
      </w:r>
      <w:bookmarkStart w:id="217" w:name="xdx_905_eus-gaap--SaleOfStockConsiderati"/>
      <w:bookmarkEnd w:id="217"/>
      <w:r>
        <w:rPr>
          <w:rFonts w:ascii="Times New Roman;Times;Serif" w:hAnsi="Times New Roman;Times;Serif"/>
          <w:b w:val="false"/>
          <w:i w:val="false"/>
          <w:caps w:val="false"/>
          <w:smallCaps w:val="false"/>
          <w:sz w:val="20"/>
        </w:rPr>
        <w:t>8,400,000 with net proceeds of approximately $</w:t>
      </w:r>
      <w:bookmarkStart w:id="218" w:name="xdx_901_eus-gaap--ProceedsFromIssuanceOr"/>
      <w:bookmarkEnd w:id="218"/>
      <w:r>
        <w:rPr>
          <w:rFonts w:ascii="Times New Roman;Times;Serif" w:hAnsi="Times New Roman;Times;Serif"/>
          <w:b w:val="false"/>
          <w:i w:val="false"/>
          <w:caps w:val="false"/>
          <w:smallCaps w:val="false"/>
          <w:sz w:val="20"/>
        </w:rPr>
        <w:t xml:space="preserve">7.39 million, after deducting estimated underwriting discounts and commissions and estimated offering expenses payable by the Company. The Class A Ordinary Shares were approved for listing on The Nasdaq Capital Market and commenced trading under the ticker symbol “UFG”. On February 4, 2025, the underwriter exercised the OA Option in full to purchase </w:t>
      </w:r>
      <w:bookmarkStart w:id="219" w:name="xdx_90C_eus-gaap--SaleOfStockNumberOfSha"/>
      <w:bookmarkEnd w:id="219"/>
      <w:r>
        <w:rPr>
          <w:rFonts w:ascii="Times New Roman;Times;Serif" w:hAnsi="Times New Roman;Times;Serif"/>
          <w:b w:val="false"/>
          <w:i w:val="false"/>
          <w:caps w:val="false"/>
          <w:smallCaps w:val="false"/>
          <w:sz w:val="20"/>
        </w:rPr>
        <w:t>315,000 additional Class A Ordinary Shares from the Company at the public offering price of $</w:t>
      </w:r>
      <w:bookmarkStart w:id="220" w:name="xdx_905_eus-gaap--SaleOfStockPricePerSha"/>
      <w:bookmarkEnd w:id="220"/>
      <w:r>
        <w:rPr>
          <w:rFonts w:ascii="Times New Roman;Times;Serif" w:hAnsi="Times New Roman;Times;Serif"/>
          <w:b w:val="false"/>
          <w:i w:val="false"/>
          <w:caps w:val="false"/>
          <w:smallCaps w:val="false"/>
          <w:sz w:val="20"/>
        </w:rPr>
        <w:t>4 per share, generated gross proceeds of $</w:t>
      </w:r>
      <w:bookmarkStart w:id="221" w:name="xdx_907_eus-gaap--SaleOfStockConsiderati"/>
      <w:bookmarkEnd w:id="221"/>
      <w:r>
        <w:rPr>
          <w:rFonts w:ascii="Times New Roman;Times;Serif" w:hAnsi="Times New Roman;Times;Serif"/>
          <w:b w:val="false"/>
          <w:i w:val="false"/>
          <w:caps w:val="false"/>
          <w:smallCaps w:val="false"/>
          <w:sz w:val="20"/>
        </w:rPr>
        <w:t>1,260,000 with net proceeds of approximately $</w:t>
      </w:r>
      <w:bookmarkStart w:id="222" w:name="xdx_907_eus-gaap--ProceedsFromIssuanceOr"/>
      <w:bookmarkEnd w:id="222"/>
      <w:r>
        <w:rPr>
          <w:rFonts w:ascii="Times New Roman;Times;Serif" w:hAnsi="Times New Roman;Times;Serif"/>
          <w:b w:val="false"/>
          <w:i w:val="false"/>
          <w:caps w:val="false"/>
          <w:smallCaps w:val="false"/>
          <w:sz w:val="20"/>
        </w:rPr>
        <w:t>1.17 million, after deducting estimated underwriting discounts and commissions and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the consolidation of the Company and its subsidiaries has been accounted for at historical cost and prepared on the basis as if the aforementioned transactions had become effective as of the beginning of the first period presented in these unaudited condensed consolidated financial statements. Results of operations for the periods presented comprise those of the previously separate entities combined from the beginning of the period to the end of the period, eliminating the effects of intra-entity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3" w:name="xdx_805_eus-gaap--SignificantAccountingP"/>
      <w:bookmarkEnd w:id="223"/>
      <w:r>
        <w:rPr>
          <w:rFonts w:ascii="Times New Roman;Times;Serif" w:hAnsi="Times New Roman;Times;Serif"/>
          <w:b/>
          <w:i w:val="false"/>
          <w:caps w:val="false"/>
          <w:smallCaps w:val="false"/>
          <w:sz w:val="20"/>
        </w:rPr>
        <w:t xml:space="preserve">2. </w:t>
      </w:r>
      <w:bookmarkStart w:id="224" w:name="xdx_823_zjM1a1o0sFF2"/>
      <w:bookmarkEnd w:id="224"/>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25" w:name="xdx_84E_eus-gaap--BasisOfAccountingPolic"/>
      <w:bookmarkEnd w:id="225"/>
      <w:r>
        <w:rPr>
          <w:rFonts w:ascii="Times New Roman;Times;Serif" w:hAnsi="Times New Roman;Times;Serif"/>
          <w:b/>
          <w:i/>
          <w:caps w:val="false"/>
          <w:smallCaps w:val="false"/>
          <w:sz w:val="20"/>
        </w:rPr>
        <w:t>Basis of presentation and principle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(“U.S. GAAP”) and the rules and regulations of the U.S. Securities and Exchange Commission (“SEC”) applicable to interim financial reporting. These financial statements include all adjustments (consisting only of normal recurring adjustments) necessary for a fair presentation of the Group’s financial position, results of operations, and cash flows for the interim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six months ended June 30, 2026 are not necessarily indicative of the results that may be expected for the full fiscal year ending December 31, 2026. These unaudited condensed consolidated financial statements should be read in conjunction with the Group’s audited consolidated financial statements as of and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include the financial statements of the Company and its subsidiaries. All intercompany transactions and balances among the Company and its subsidiaries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pStyle w:val="TextBody"/>
        <w:bidi w:val="0"/>
        <w:spacing w:before="0" w:after="0"/>
        <w:ind w:left="0" w:right="0" w:firstLine="48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26" w:name="xdx_844_eus-gaap--UseOfEstimates_zzxD0Sf"/>
      <w:bookmarkEnd w:id="226"/>
      <w:r>
        <w:rPr>
          <w:rFonts w:ascii="Times New Roman;Times;Serif" w:hAnsi="Times New Roman;Times;Serif"/>
          <w:b/>
          <w:i/>
          <w:caps w:val="false"/>
          <w:smallCaps w:val="false"/>
          <w:sz w:val="20"/>
        </w:rPr>
        <w:t>Use of 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These estimates and judgments are based on historical information, information that is currently available to the Group and on various other assumptions that the Group believes to be reasonable under the circumstances. Significant estimates and judgments include, but are not limited to, revenue recognition, allowance for credit losses against financial assets, accounting for operating lease right-of-use assets and operating lease liabilities, and income taxes.. Actual results could differ from the estimates, and as such, differences could be material to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27" w:name="xdx_84F_eus-gaap--CashAndCashEquivalents"/>
      <w:bookmarkEnd w:id="227"/>
      <w:r>
        <w:rPr>
          <w:rFonts w:ascii="Times New Roman;Times;Serif" w:hAnsi="Times New Roman;Times;Serif"/>
          <w:b/>
          <w:i/>
          <w:caps w:val="false"/>
          <w:smallCaps w:val="false"/>
          <w:sz w:val="20"/>
        </w:rPr>
        <w:t>Cash and cash equvalents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and demand deposits, as well as short-term, highly liquid investments with original maturities of three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28" w:name="xdx_847_eus-gaap--TradeAndOtherAccountsR"/>
      <w:bookmarkEnd w:id="228"/>
      <w:r>
        <w:rPr>
          <w:rFonts w:ascii="Times New Roman;Times;Serif" w:hAnsi="Times New Roman;Times;Serif"/>
          <w:b/>
          <w:i/>
          <w:caps w:val="false"/>
          <w:smallCaps w:val="false"/>
          <w:sz w:val="20"/>
        </w:rPr>
        <w:t>Accounts receivable, net</w:t>
      </w:r>
    </w:p>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the original invoiced amount less an allowance for credit losses and do not bear interest. Customers who owed accounts receivables, are granted credit terms based on their credit metrics. The Group adopted ASU No.2016-13 “Financial Instruments — Credit Losses (Topic 326): Measurement of Credit Losses on Financial Instruments” (“ASC Topic 326”) on its accounts receivable, starting from the incorporation date of Uni-Fuels as of October 12, 2021, and records the allowance for credit losses as an offset to accounts receivable, and the estimated credit losses charged to the allowance is classified as “general and administrative” in these unaudited condensed consolidated statements of income and comprehensive income. The Group assesses collectability by reviewing accounts receivable on a collective basis where similar characteristics exist, primarily based on similar business line, service or product offerings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credit quality of the Group’s customers based on ongoing credit evaluations, current economic conditions, reasonable and supportable forecasts of future economic conditions, and other factors that may affect the Group’s ability to collect from customers. Under this accounting guidance, the Group measures credit losses on its accounts receivable using the current credit loss model under ASC 326. As of June 30, 2026 and December 31, 2025, the Company provided allowance for credit losses of $</w:t>
      </w:r>
      <w:bookmarkStart w:id="229" w:name="xdx_907_eus-gaap--AllowanceForDoubtfulAc"/>
      <w:bookmarkEnd w:id="229"/>
      <w:r>
        <w:rPr>
          <w:rFonts w:ascii="Times New Roman;Times;Serif" w:hAnsi="Times New Roman;Times;Serif"/>
          <w:b w:val="false"/>
          <w:i w:val="false"/>
          <w:caps w:val="false"/>
          <w:smallCaps w:val="false"/>
          <w:sz w:val="20"/>
        </w:rPr>
        <w:t>10,423 and $</w:t>
      </w:r>
      <w:bookmarkStart w:id="230" w:name="xdx_907_eus-gaap--AllowanceForDoubtfulAc"/>
      <w:bookmarkEnd w:id="230"/>
      <w:r>
        <w:rPr>
          <w:rFonts w:ascii="Times New Roman;Times;Serif" w:hAnsi="Times New Roman;Times;Serif"/>
          <w:b w:val="false"/>
          <w:i w:val="false"/>
          <w:caps w:val="false"/>
          <w:smallCaps w:val="false"/>
          <w:sz w:val="20"/>
        </w:rPr>
        <w:t>10,423,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31" w:name="xdx_843_ecustom--PrepaymentsAndOtherAsse"/>
      <w:bookmarkEnd w:id="231"/>
      <w:r>
        <w:rPr>
          <w:rFonts w:ascii="Times New Roman;Times;Serif" w:hAnsi="Times New Roman;Times;Serif"/>
          <w:b/>
          <w:i/>
          <w:caps w:val="false"/>
          <w:smallCaps w:val="false"/>
          <w:sz w:val="20"/>
        </w:rPr>
        <w:t>Prepayments and other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assets are comprised of other receivables and prepaid expenses, including rental deposit, interest receivables and prepaid office supplies. Since the incorporation of Uni-Fuels on October 12, 2021, the Group adopted ASC Topic 326 on its other receivables. The new credit loss guidance replaces the old model for measuring the allowance for credit losses with a model that is based on the expected losses. Under this accounting guidance, the Group measures credit losses on its prepayment and other assets using the current credit loss model under ASC 326. As of June 30, 2026 and December 31, 2025, the balance of allowance for credit loss against prepayments and other assets was $</w:t>
      </w:r>
      <w:bookmarkStart w:id="232" w:name="xdx_90F_ecustom--AllowanceForDoubtfulPre"/>
      <w:bookmarkEnd w:id="232"/>
      <w:r>
        <w:rPr>
          <w:rFonts w:ascii="Times New Roman;Times;Serif" w:hAnsi="Times New Roman;Times;Serif"/>
          <w:b w:val="false"/>
          <w:i w:val="false"/>
          <w:caps w:val="false"/>
          <w:smallCaps w:val="false"/>
          <w:sz w:val="20"/>
        </w:rPr>
        <w:t>1,725 and $</w:t>
      </w:r>
      <w:bookmarkStart w:id="233" w:name="xdx_909_ecustom--AllowanceForDoubtfulPre"/>
      <w:bookmarkEnd w:id="233"/>
      <w:r>
        <w:rPr>
          <w:rFonts w:ascii="Times New Roman;Times;Serif" w:hAnsi="Times New Roman;Times;Serif"/>
          <w:b w:val="false"/>
          <w:i w:val="false"/>
          <w:caps w:val="false"/>
          <w:smallCaps w:val="false"/>
          <w:sz w:val="20"/>
        </w:rPr>
        <w:t>1,725,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34" w:name="xdx_84F_eus-gaap--LesseeLeasesPolicyText"/>
      <w:bookmarkEnd w:id="234"/>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incorporation of Uni-Fuels on October 12, 2021, the Group adopted ASU No. 2016-02, Leases (Topic 842), as amended, which supersedes the lease accounting guidance under Topic 840, and generally requires lessees to recognize operating and financing lease liabilities and corresponding right-of-use assets on the balance sheet and to provide enhanced disclosures surrounding the amount, timing and uncertainty of cash flows arising from leasing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a lessee of non-cancellable operating leases for corporate office premises. The Group determines if an arrangement is a lease at inception. A lease for which substantially all the benefits and risks incidental to ownership remain with the lessor is classified by the lessee as an operating lease. All leases of the Group are currently classified as operating leases. Operating leases are included in operating lease right-of-use (“ROU”) assets, operating lease liabilities on the Group’s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firstLine="48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L</w:t>
      </w:r>
      <w:r>
        <w:rPr>
          <w:rFonts w:ascii="Times New Roman;Times;Serif" w:hAnsi="Times New Roman;Times;Serif"/>
          <w:b/>
          <w:i w:val="false"/>
          <w:caps w:val="false"/>
          <w:smallCaps w:val="false"/>
          <w:sz w:val="20"/>
        </w:rPr>
        <w:t>eases (Continued)</w:t>
      </w:r>
    </w:p>
    <w:p>
      <w:pPr>
        <w:pStyle w:val="TextBody"/>
        <w:bidi w:val="0"/>
        <w:spacing w:before="0" w:after="0"/>
        <w:ind w:left="0" w:right="0" w:firstLine="48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the Group’s right to use an underlying asset for the lease term and operating lease liabilities represent its obligation to make lease payments arising from the lease. ROU assets and operating lease liabilities are recognized at lease commencement date based on the present value of lease payments over the lease term.</w:t>
      </w:r>
    </w:p>
    <w:p>
      <w:pPr>
        <w:pStyle w:val="TextBody"/>
        <w:bidi w:val="0"/>
        <w:spacing w:before="0" w:after="0"/>
        <w:ind w:left="0" w:right="0" w:firstLine="48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determining the lease term, at lease commencement date, the Group considers options to extend or terminate the lease when it is reasonably certain that it will exercise or not exercise that option. The interest rate used to determine the present value of future lease payments is the Group’s incremental borrowing rate based on the information available at the lease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standard (ASC 842) provides practical expedients for an entity’s ongoing accounting. The Group elects to apply short-term lease exception for leases with a lease term of 12 months or less at commencement. Accordingly, ROU assets and operating lease liabilities do not include leases with a lease term of 12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elects to adopt the practical expedient that allows lessee to treat the lease and non-lease components of a lease as a single lease component. Non-lease components include building management fees, utility expenses and property taxes included and payable in the lease contract. These non-lease components are not separated from the lease components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the impairment of its ROU assets consistently with the approach applied for its other long-lived assets. The Group reviews the recoverability of its long-lived assets when events or changes in circumstances indicate that the carrying value of the assets may not be recoverable. The assessment of possible impairment is based on its ability to recover the carrying value of the assets from the expected undiscounted future pre-tax cash flows of the related operations. For the six months ended June 30, 2026 and 2025, the Group did not recognize any impairment loss against its ROU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35" w:name="xdx_847_eus-gaap--PropertyPlantAndEquipm"/>
      <w:bookmarkEnd w:id="235"/>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impairment losses. Depreciation is provided using the straight-line method based on the estimated useful life. The estimated useful lives of property and equipment are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36" w:name="xdx_8BD_zT5pUa5onJ5d"/>
      <w:bookmarkStart w:id="237" w:name="xdx_894_ecustom--ScheduleOfEstimatedUsef"/>
      <w:bookmarkEnd w:id="236"/>
      <w:bookmarkEnd w:id="237"/>
      <w:r>
        <w:rPr>
          <w:rFonts w:ascii="Times New Roman;Times;Serif" w:hAnsi="Times New Roman;Times;Serif"/>
          <w:b w:val="false"/>
          <w:i w:val="false"/>
          <w:caps w:val="false"/>
          <w:smallCaps w:val="false"/>
          <w:sz w:val="20"/>
        </w:rPr>
        <w:t>Schedule of Estimated Useful Lives of Property And Equipment </w:t>
      </w:r>
    </w:p>
    <w:tbl>
      <w:tblPr>
        <w:tblW w:w="5440" w:type="dxa"/>
        <w:jc w:val="left"/>
        <w:tblInd w:w="0" w:type="dxa"/>
        <w:tblLayout w:type="fixed"/>
        <w:tblCellMar>
          <w:top w:w="0" w:type="dxa"/>
          <w:left w:w="0" w:type="dxa"/>
          <w:bottom w:w="0" w:type="dxa"/>
          <w:right w:w="0" w:type="dxa"/>
        </w:tblCellMar>
      </w:tblPr>
      <w:tblGrid>
        <w:gridCol w:w="2405"/>
        <w:gridCol w:w="60"/>
        <w:gridCol w:w="2975"/>
      </w:tblGrid>
      <w:tr>
        <w:trPr/>
        <w:tc>
          <w:tcPr>
            <w:tcW w:w="240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right"/>
              <w:rPr/>
            </w:pPr>
            <w:r>
              <w:rPr/>
              <w:t xml:space="preserve">Shorter of lease term or </w:t>
            </w:r>
            <w:bookmarkStart w:id="238" w:name="xdx_905_eus-gaap--PropertyPlantAndEquipm"/>
            <w:bookmarkEnd w:id="238"/>
            <w:r>
              <w:rPr/>
              <w:t>3 years</w:t>
            </w:r>
          </w:p>
        </w:tc>
      </w:tr>
      <w:tr>
        <w:trPr/>
        <w:tc>
          <w:tcPr>
            <w:tcW w:w="2405" w:type="dxa"/>
            <w:tcBorders/>
            <w:shd w:fill="FFFFFF" w:val="clear"/>
            <w:vAlign w:val="center"/>
          </w:tcPr>
          <w:p>
            <w:pPr>
              <w:pStyle w:val="TableContents"/>
              <w:bidi w:val="0"/>
              <w:spacing w:before="0" w:after="283"/>
              <w:jc w:val="left"/>
              <w:rPr/>
            </w:pPr>
            <w:r>
              <w:rPr/>
              <w:t>Furniture and fixture</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right"/>
              <w:rPr/>
            </w:pPr>
            <w:bookmarkStart w:id="239" w:name="xdx_90E_eus-gaap--PropertyPlantAndEquipm"/>
            <w:bookmarkEnd w:id="239"/>
            <w:r>
              <w:rPr/>
              <w:t>5 years</w:t>
            </w:r>
          </w:p>
        </w:tc>
      </w:tr>
      <w:tr>
        <w:trPr/>
        <w:tc>
          <w:tcPr>
            <w:tcW w:w="240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right"/>
              <w:rPr/>
            </w:pPr>
            <w:bookmarkStart w:id="240" w:name="xdx_909_eus-gaap--PropertyPlantAndEquipm"/>
            <w:bookmarkEnd w:id="240"/>
            <w:r>
              <w:rPr/>
              <w:t>3 years</w:t>
            </w:r>
          </w:p>
        </w:tc>
      </w:tr>
      <w:tr>
        <w:trPr/>
        <w:tc>
          <w:tcPr>
            <w:tcW w:w="2405"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right"/>
              <w:rPr/>
            </w:pPr>
            <w:bookmarkStart w:id="241" w:name="xdx_905_eus-gaap--PropertyPlantAndEquipm"/>
            <w:bookmarkEnd w:id="241"/>
            <w:r>
              <w:rPr/>
              <w:t>10 years</w:t>
            </w:r>
          </w:p>
        </w:tc>
      </w:tr>
      <w:tr>
        <w:trPr/>
        <w:tc>
          <w:tcPr>
            <w:tcW w:w="240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right"/>
              <w:rPr/>
            </w:pPr>
            <w:bookmarkStart w:id="242" w:name="xdx_90D_eus-gaap--PropertyPlantAndEquipm"/>
            <w:bookmarkEnd w:id="242"/>
            <w:r>
              <w:rPr/>
              <w:t>5 years</w:t>
            </w:r>
          </w:p>
        </w:tc>
      </w:tr>
    </w:tbl>
    <w:p>
      <w:pPr>
        <w:pStyle w:val="TextBody"/>
        <w:bidi w:val="0"/>
        <w:spacing w:before="0" w:after="0"/>
        <w:ind w:left="0" w:right="0" w:hanging="0"/>
        <w:jc w:val="both"/>
        <w:rPr>
          <w:caps w:val="false"/>
          <w:smallCaps w:val="false"/>
        </w:rPr>
      </w:pPr>
      <w:bookmarkStart w:id="243" w:name="xdx_8A6_zwht3KWv5aHh"/>
      <w:bookmarkEnd w:id="2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repairs and maintenance, which do not materially extend the useful lives of the assets, are expensed as incurred. Expenditures for major renewals and betterments which substantially extend the useful life of assets are capitalized. The cost and related accumulated depreciation of assets disposed of or retired are removed from the accounts, and any resulting gain or loss is reflected in the unaudited condensed consolidated statements of income and comprehensive income under other income or expenses.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44" w:name="xdx_842_eus-gaap--ImpairmentOrDisposalOf"/>
      <w:bookmarkEnd w:id="244"/>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reviews long-lived assets, including property and equipment and ROU assets, for impairment whenever events or changes in circumstances indicate that the carrying amount of an asset may not be recoverable. Recoverability of assets to be held and used is measured by a comparison of the carrying amount of an asset to the undiscounted future pre-tax cash flows expected to be generated by the asset. If such assets are considered to be impaired, the impairment recognized is measured by the amount by which the carrying amount of the assets exceeds the fair value of the assets. Fair value is generally determined by discounting the cash flows expected to be generated by the asset (asset group), when the market prices are not readily available. The adjusted carrying amount of the asset is the new cost basis and is depreciated over the asset’s remaining useful life. Long-lived assets are grouped with other assets and liabilities at the lowest level for which identifiable cash flows are largely independent of the cash flows of other assets and liabilities. For the six months ended June 30, 2026 and 2025, </w:t>
      </w:r>
      <w:bookmarkStart w:id="245" w:name="xdx_90A_eus-gaap--ImpairmentOfIntangible"/>
      <w:bookmarkStart w:id="246" w:name="xdx_90C_eus-gaap--ImpairmentOfIntangible"/>
      <w:bookmarkEnd w:id="245"/>
      <w:bookmarkEnd w:id="246"/>
      <w:r>
        <w:rPr>
          <w:rFonts w:ascii="Times New Roman;Times;Serif" w:hAnsi="Times New Roman;Times;Serif"/>
          <w:b w:val="false"/>
          <w:i w:val="false"/>
          <w:caps w:val="false"/>
          <w:smallCaps w:val="false"/>
          <w:sz w:val="20"/>
        </w:rPr>
        <w:t>no impairment of long-lived assets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47" w:name="xdx_842_eus-gaap--DeferredChargesPolicyT"/>
      <w:bookmarkEnd w:id="247"/>
      <w:r>
        <w:rPr>
          <w:rFonts w:ascii="Times New Roman;Times;Serif" w:hAnsi="Times New Roman;Times;Serif"/>
          <w:b/>
          <w:i/>
          <w:caps w:val="false"/>
          <w:smallCaps w:val="false"/>
          <w:sz w:val="20"/>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consist of underwriting, legal, accounting and other expenses incurred through the balance sheet date that are directly related to the offering and that will charge to shareholders’ equity upon the completion of the offering. As of June 30, 2026 and December 31, 2025, the Group had deferred offering costs of $</w:t>
      </w:r>
      <w:bookmarkStart w:id="248" w:name="xdx_90D_eus-gaap--DeferredOfferingCosts_"/>
      <w:bookmarkEnd w:id="248"/>
      <w:r>
        <w:rPr>
          <w:rFonts w:ascii="Times New Roman;Times;Serif" w:hAnsi="Times New Roman;Times;Serif"/>
          <w:b w:val="false"/>
          <w:i w:val="false"/>
          <w:caps w:val="false"/>
          <w:smallCaps w:val="false"/>
          <w:sz w:val="20"/>
        </w:rPr>
        <w:t>13,810 and $</w:t>
      </w:r>
      <w:bookmarkStart w:id="249" w:name="xdx_908_eus-gaap--DeferredOfferingCosts_"/>
      <w:bookmarkEnd w:id="249"/>
      <w:r>
        <w:rPr>
          <w:rFonts w:ascii="Times New Roman;Times;Serif" w:hAnsi="Times New Roman;Times;Serif"/>
          <w:b w:val="false"/>
          <w:i w:val="false"/>
          <w:caps w:val="false"/>
          <w:smallCaps w:val="false"/>
          <w:sz w:val="20"/>
        </w:rPr>
        <w:t>Nil,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50" w:name="xdx_841_eus-gaap--RevenueFromContractWit"/>
      <w:bookmarkEnd w:id="250"/>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follows the rules and guidance set out under ASC 606, Revenue from Contracts with Customers (“ASC 606”), when recognizing revenue from contracts with customers. The core principle of ASC 606 requires an entity to recognize revenues to depict the transfer of goods or services to customers in an amount that reflects the consideration that it expects to be entitled to receive in exchange for those goods or services recognized as performance obligations are satisfied. In according with ASC 606, revenues are recognized when the Group satisfies the performance obligations by delivering the promised goods or services to the customers, in an amount that reflects the consideration the Group expects to be entitled to in exchange for those goods or services. The following five steps are applied to achieve that core principle: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 with the customer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the transaction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the company satisfies a performance obligation.</w:t>
      </w:r>
    </w:p>
    <w:p>
      <w:pPr>
        <w:pStyle w:val="TextBody"/>
        <w:bidi w:val="0"/>
        <w:spacing w:before="0" w:after="0"/>
        <w:ind w:left="0" w:right="0" w:firstLine="48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identifies each distinct service as a performance obligation. The recognition and measurement of revenues is based on the assessment of individual contract terms. The Group applies a practical expedient to expense costs as incurred for those suffered in order to obtain a contract with a customer when the amortization period would have been one year or less. The Group has no material incremental costs of obtaining contracts with customers that the Group expects the benefit of those costs to be longer than one year, which need to be recognized as assets.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principal revenue streams include:</w:t>
      </w:r>
    </w:p>
    <w:p>
      <w:pPr>
        <w:pStyle w:val="TextBody"/>
        <w:bidi w:val="0"/>
        <w:spacing w:before="0" w:after="0"/>
        <w:ind w:left="0" w:right="0" w:firstLine="48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Sales of marine fuels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a distinct agreement with its customer, through an order confirmation, to sell marine fuels in exchange for sales proceeds. The Group’s promise to sell marine fuels to its customer is considered distinct and is identified as one performance obligation. The Group charges its customer sales proceed at a fixed amount, which is explicitly stated in the contract through order confirmation and is based on the volume of marine fuels supplied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does not simultaneously receive and consume the benefits provided by the Group prior to the delivery of marine fuels. No other services are provided by the Group, and benefits are only realized upon receiving marine fuels. Before the delivery of marine fuels, no assets are created nor is there an enforceable right to payment for completed performance by the Group, as evidenced by the order confirmation. Sales income does not qualify to be recognized over time but is recognized at a point in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obligation to make payment upon fuels delivery and physical possession of marine fuels indicates control over the assets is transferred to customer upon delivery. Furthermore, upon delivery, customer takes on the risks and rewards associated with ownership of the marine fuels and is ready to derive benefits from the assets. Consequently, revenue from the sales of marine fuels is recognized at a point in time when the transaction and the Group’s performance obligation is completed, as evidenced by the delivery of marine fuels.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specified goods or services to be provided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Assess whether it controls each specified good or service before that good or service is transferred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order confirmation, the Group is solely responsible for the sales of marine fuels it committed to by providing marine fuels with the required grades set out in the agreements with the customers, procuring the relevant supplier, and supplying the required fuels at the designated ports and time, while ensuring the specifications of the marine fuels sold are met to fulfill the promise in the order confirmation. The Group controls the whole process and has an obligation to procure the fulfillment of the conditions. Moreover, the Group controls who the marine fuels may be sold to and has full authority in negotiating and determining the commercial terms with both customers and suppliers on each trade without the consent from other parties. The Group also considers elements of inventory risk that it assumes when assessing whether it controls the marine fuels before they are transferred to the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Group holds the sole primary responsibility for fulfilling the performance obligation and has full discretion over setting prices with its customer in the sales of marine fuels. As the principal in the contract, the Group recognizes revenue at the gross amount to which it is entitled from its customer.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Freight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arranges transportation services for customers through third-party freight service providers for the carriage of petroleum products between specified load and discharge ports. Revenue from freight services is recognized in accordance with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transportation service represents a single performance obligation satisfied over time, as the customer simultaneously receives and consumes the benefits provided as the carriage progresses. Freight revenue is recognized over the transit period based on an output method measuring elapsed voyage time from the load port to the discharge port relative to the total estimated voyage time, which faithfully depicts the transfer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whether it acts as a principal or an agent in its freight service arrangements. The Group acts as a principal as it controls the specified transportation service before it is transferred to the customer. Control is demonstrated as the Group is primarily responsible for fulfilling the promise to provide the transportation service, retains discretion in establishing pricing with the customer, and assumes credit risk. As the principal in the contract, the Group recognizes revenue at the gross amount to which it is entitled from its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in advance of performance are recorded as contract liabilities. Unbilled revenue earned during the transportation period is recognized as contract assets or accounts receivable, as appropriate. Adjustments resulting from final settlement of voyage uncertainties are recorded in revenue in the period in which the estimates are updated.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Brokerage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enters into arrangements with its customer by referring marine companies for the sales of marine fuels in exchange for a brokerage commission. These brokerage services that the Group promises to refer marine companies to its customer are considered distinct and constitute a single performance obligation. The commission earned from the brokerage services is fixed and determined at a fixed rate against the volume of marine fuels supplied by its customer to marine companies referred.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does not simultaneously receive and consume the benefits provided by the Group prior to the completion of the transaction. Before the completion of the transaction, no assets are created, nor is there an enforceable right to payment for completed performance by the Group. Brokerage commissions do not qualify to be recognized over time. Revenue from brokerage services is recognized at a point in time, specifically when the transaction is completed and evidenced by the delivery of marine fuels from its customer to marine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specified goods or services to be provided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Assess whether it controls each specified good or service before that service is transferred to the customer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Sources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sales of marine fuels and brokerage commissions were recognized at a point in time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carried out all its business activities and major operations in Singapore and Dubai. Disaggregated information of revenues by geographic locations, which is based on the locations at which the marine fuels are delivered to the customers is as follows:</w:t>
      </w:r>
    </w:p>
    <w:p>
      <w:pPr>
        <w:pStyle w:val="TextBody"/>
        <w:bidi w:val="0"/>
        <w:spacing w:before="0" w:after="0"/>
        <w:ind w:left="0" w:right="0" w:hanging="0"/>
        <w:jc w:val="both"/>
        <w:rPr>
          <w:caps w:val="false"/>
          <w:smallCaps w:val="false"/>
        </w:rPr>
      </w:pPr>
      <w:bookmarkStart w:id="251" w:name="xdx_894_eus-gaap--DisaggregationOfRevenu"/>
      <w:bookmarkEnd w:id="251"/>
      <w:r>
        <w:rPr>
          <w:caps w:val="false"/>
          <w:smallCaps w:val="false"/>
        </w:rPr>
        <w:t> </w:t>
      </w:r>
      <w:bookmarkStart w:id="252" w:name="xdx_8B5_zrwdYhFUxhsl"/>
      <w:bookmarkEnd w:id="252"/>
      <w:r>
        <w:rPr>
          <w:rFonts w:ascii="Times New Roman;Times;Serif" w:hAnsi="Times New Roman;Times;Serif"/>
          <w:b w:val="false"/>
          <w:i w:val="false"/>
          <w:caps w:val="false"/>
          <w:smallCaps w:val="false"/>
          <w:sz w:val="20"/>
        </w:rPr>
        <w:t>Schedule of Disaggregated Information of Revenues </w:t>
      </w:r>
    </w:p>
    <w:tbl>
      <w:tblPr>
        <w:tblW w:w="5275" w:type="dxa"/>
        <w:jc w:val="left"/>
        <w:tblInd w:w="0" w:type="dxa"/>
        <w:tblLayout w:type="fixed"/>
        <w:tblCellMar>
          <w:top w:w="0" w:type="dxa"/>
          <w:left w:w="0" w:type="dxa"/>
          <w:bottom w:w="0" w:type="dxa"/>
          <w:right w:w="0" w:type="dxa"/>
        </w:tblCellMar>
      </w:tblPr>
      <w:tblGrid>
        <w:gridCol w:w="2300"/>
        <w:gridCol w:w="60"/>
        <w:gridCol w:w="140"/>
        <w:gridCol w:w="1220"/>
        <w:gridCol w:w="60"/>
        <w:gridCol w:w="60"/>
        <w:gridCol w:w="140"/>
        <w:gridCol w:w="1220"/>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3" w:name="xdx_492_20260101__20260630_z4y7PN3pJRwb"/>
            <w:bookmarkEnd w:id="253"/>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4" w:name="xdx_493_20250101__20250630_zrkNGW1EfLvh"/>
            <w:bookmarkEnd w:id="254"/>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b/>
              </w:rPr>
            </w:pPr>
            <w:r>
              <w:rPr>
                <w:b/>
              </w:rPr>
              <w:t>Geographic locations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Sales of marine fuels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55" w:name="xdx_403_eus-gaap--RevenueFromContractWit"/>
            <w:bookmarkEnd w:id="255"/>
          </w:p>
        </w:tc>
      </w:tr>
      <w:tr>
        <w:trPr/>
        <w:tc>
          <w:tcPr>
            <w:tcW w:w="2300" w:type="dxa"/>
            <w:tcBorders/>
            <w:shd w:fill="CCEEFF" w:val="clear"/>
            <w:vAlign w:val="center"/>
          </w:tcPr>
          <w:p>
            <w:pPr>
              <w:pStyle w:val="TableContents"/>
              <w:bidi w:val="0"/>
              <w:spacing w:before="0" w:after="283"/>
              <w:jc w:val="left"/>
              <w:rPr/>
            </w:pPr>
            <w:r>
              <w:rPr/>
              <w:t>China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14,639,419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12,246,493</w:t>
            </w:r>
          </w:p>
        </w:tc>
        <w:tc>
          <w:tcPr>
            <w:tcW w:w="75" w:type="dxa"/>
            <w:tcBorders/>
            <w:shd w:fill="CCEEFF" w:val="clear"/>
            <w:vAlign w:val="center"/>
          </w:tcPr>
          <w:p>
            <w:pPr>
              <w:pStyle w:val="TableContents"/>
              <w:bidi w:val="0"/>
              <w:spacing w:before="0" w:after="283"/>
              <w:jc w:val="left"/>
              <w:rPr/>
            </w:pPr>
            <w:r>
              <w:rPr/>
              <w:t> </w:t>
            </w:r>
            <w:bookmarkStart w:id="256" w:name="xdx_40E_eus-gaap--RevenueFromContractWit"/>
            <w:bookmarkEnd w:id="256"/>
          </w:p>
        </w:tc>
      </w:tr>
      <w:tr>
        <w:trPr/>
        <w:tc>
          <w:tcPr>
            <w:tcW w:w="2300"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9,032,636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4,848,622</w:t>
            </w:r>
          </w:p>
        </w:tc>
        <w:tc>
          <w:tcPr>
            <w:tcW w:w="75" w:type="dxa"/>
            <w:tcBorders/>
            <w:shd w:fill="FFFFFF" w:val="clear"/>
            <w:vAlign w:val="center"/>
          </w:tcPr>
          <w:p>
            <w:pPr>
              <w:pStyle w:val="TableContents"/>
              <w:bidi w:val="0"/>
              <w:spacing w:before="0" w:after="283"/>
              <w:jc w:val="left"/>
              <w:rPr/>
            </w:pPr>
            <w:r>
              <w:rPr/>
              <w:t> </w:t>
            </w:r>
            <w:bookmarkStart w:id="257" w:name="xdx_40E_eus-gaap--RevenueFromContractWit"/>
            <w:bookmarkEnd w:id="257"/>
          </w:p>
        </w:tc>
      </w:tr>
      <w:tr>
        <w:trPr/>
        <w:tc>
          <w:tcPr>
            <w:tcW w:w="2300" w:type="dxa"/>
            <w:tcBorders/>
            <w:shd w:fill="CCEEFF" w:val="clear"/>
            <w:vAlign w:val="center"/>
          </w:tcPr>
          <w:p>
            <w:pPr>
              <w:pStyle w:val="TableContents"/>
              <w:bidi w:val="0"/>
              <w:spacing w:before="0" w:after="283"/>
              <w:jc w:val="left"/>
              <w:rPr/>
            </w:pPr>
            <w:r>
              <w:rPr/>
              <w:t>India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6,178,711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2,195,527</w:t>
            </w:r>
          </w:p>
        </w:tc>
        <w:tc>
          <w:tcPr>
            <w:tcW w:w="75" w:type="dxa"/>
            <w:tcBorders/>
            <w:shd w:fill="CCEEFF" w:val="clear"/>
            <w:vAlign w:val="center"/>
          </w:tcPr>
          <w:p>
            <w:pPr>
              <w:pStyle w:val="TableContents"/>
              <w:bidi w:val="0"/>
              <w:spacing w:before="0" w:after="283"/>
              <w:jc w:val="left"/>
              <w:rPr/>
            </w:pPr>
            <w:r>
              <w:rPr/>
              <w:t> </w:t>
            </w:r>
            <w:bookmarkStart w:id="258" w:name="xdx_408_eus-gaap--RevenueFromContractWit"/>
            <w:bookmarkEnd w:id="258"/>
          </w:p>
        </w:tc>
      </w:tr>
      <w:tr>
        <w:trPr/>
        <w:tc>
          <w:tcPr>
            <w:tcW w:w="2300" w:type="dxa"/>
            <w:tcBorders/>
            <w:shd w:fill="FFFFFF" w:val="clear"/>
            <w:vAlign w:val="center"/>
          </w:tcPr>
          <w:p>
            <w:pPr>
              <w:pStyle w:val="TableContents"/>
              <w:bidi w:val="0"/>
              <w:spacing w:before="0" w:after="283"/>
              <w:jc w:val="left"/>
              <w:rPr/>
            </w:pPr>
            <w:r>
              <w:rPr/>
              <w:t>Indonesia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1,654,029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3,736,430</w:t>
            </w:r>
          </w:p>
        </w:tc>
        <w:tc>
          <w:tcPr>
            <w:tcW w:w="75" w:type="dxa"/>
            <w:tcBorders/>
            <w:shd w:fill="FFFFFF" w:val="clear"/>
            <w:vAlign w:val="center"/>
          </w:tcPr>
          <w:p>
            <w:pPr>
              <w:pStyle w:val="TableContents"/>
              <w:bidi w:val="0"/>
              <w:spacing w:before="0" w:after="283"/>
              <w:jc w:val="left"/>
              <w:rPr/>
            </w:pPr>
            <w:r>
              <w:rPr/>
              <w:t> </w:t>
            </w:r>
            <w:bookmarkStart w:id="259" w:name="xdx_400_eus-gaap--RevenueFromContractWit"/>
            <w:bookmarkEnd w:id="259"/>
          </w:p>
        </w:tc>
      </w:tr>
      <w:tr>
        <w:trPr/>
        <w:tc>
          <w:tcPr>
            <w:tcW w:w="2300"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43,133,687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34,809,981</w:t>
            </w:r>
          </w:p>
        </w:tc>
        <w:tc>
          <w:tcPr>
            <w:tcW w:w="75" w:type="dxa"/>
            <w:tcBorders/>
            <w:shd w:fill="CCEEFF" w:val="clear"/>
            <w:vAlign w:val="center"/>
          </w:tcPr>
          <w:p>
            <w:pPr>
              <w:pStyle w:val="TableContents"/>
              <w:bidi w:val="0"/>
              <w:spacing w:before="0" w:after="283"/>
              <w:jc w:val="left"/>
              <w:rPr/>
            </w:pPr>
            <w:r>
              <w:rPr/>
              <w:t> </w:t>
            </w:r>
            <w:bookmarkStart w:id="260" w:name="xdx_405_eus-gaap--RevenueFromContractWit"/>
            <w:bookmarkEnd w:id="260"/>
          </w:p>
        </w:tc>
      </w:tr>
      <w:tr>
        <w:trPr/>
        <w:tc>
          <w:tcPr>
            <w:tcW w:w="2300"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79,273,150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37,952,471</w:t>
            </w:r>
          </w:p>
        </w:tc>
        <w:tc>
          <w:tcPr>
            <w:tcW w:w="75" w:type="dxa"/>
            <w:tcBorders/>
            <w:shd w:fill="FFFFFF" w:val="clear"/>
            <w:vAlign w:val="center"/>
          </w:tcPr>
          <w:p>
            <w:pPr>
              <w:pStyle w:val="TableContents"/>
              <w:bidi w:val="0"/>
              <w:spacing w:before="0" w:after="283"/>
              <w:jc w:val="left"/>
              <w:rPr/>
            </w:pPr>
            <w:r>
              <w:rPr/>
              <w:t> </w:t>
            </w:r>
            <w:bookmarkStart w:id="261" w:name="xdx_40C_eus-gaap--RevenueFromContractWit"/>
            <w:bookmarkEnd w:id="261"/>
          </w:p>
        </w:tc>
      </w:tr>
      <w:tr>
        <w:trPr/>
        <w:tc>
          <w:tcPr>
            <w:tcW w:w="2300" w:type="dxa"/>
            <w:tcBorders/>
            <w:shd w:fill="CCEEFF" w:val="clear"/>
            <w:vAlign w:val="center"/>
          </w:tcPr>
          <w:p>
            <w:pPr>
              <w:pStyle w:val="TableContents"/>
              <w:bidi w:val="0"/>
              <w:spacing w:before="0" w:after="283"/>
              <w:jc w:val="left"/>
              <w:rPr/>
            </w:pPr>
            <w:r>
              <w:rPr/>
              <w:t>South Korea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6,808,583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5,129,136</w:t>
            </w:r>
          </w:p>
        </w:tc>
        <w:tc>
          <w:tcPr>
            <w:tcW w:w="75" w:type="dxa"/>
            <w:tcBorders/>
            <w:shd w:fill="CCEEFF" w:val="clear"/>
            <w:vAlign w:val="center"/>
          </w:tcPr>
          <w:p>
            <w:pPr>
              <w:pStyle w:val="TableContents"/>
              <w:bidi w:val="0"/>
              <w:spacing w:before="0" w:after="283"/>
              <w:jc w:val="left"/>
              <w:rPr/>
            </w:pPr>
            <w:r>
              <w:rPr/>
              <w:t> </w:t>
            </w:r>
            <w:bookmarkStart w:id="262" w:name="xdx_40D_eus-gaap--RevenueFromContractWit"/>
            <w:bookmarkEnd w:id="262"/>
          </w:p>
        </w:tc>
      </w:tr>
      <w:tr>
        <w:trPr/>
        <w:tc>
          <w:tcPr>
            <w:tcW w:w="2300" w:type="dxa"/>
            <w:tcBorders/>
            <w:shd w:fill="FFFFFF" w:val="clear"/>
            <w:vAlign w:val="center"/>
          </w:tcPr>
          <w:p>
            <w:pPr>
              <w:pStyle w:val="TableContents"/>
              <w:bidi w:val="0"/>
              <w:spacing w:before="0" w:after="283"/>
              <w:jc w:val="left"/>
              <w:rPr/>
            </w:pPr>
            <w:r>
              <w:rPr/>
              <w:t>Thailand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5,712,216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940,775</w:t>
            </w:r>
          </w:p>
        </w:tc>
        <w:tc>
          <w:tcPr>
            <w:tcW w:w="75" w:type="dxa"/>
            <w:tcBorders/>
            <w:shd w:fill="FFFFFF" w:val="clear"/>
            <w:vAlign w:val="center"/>
          </w:tcPr>
          <w:p>
            <w:pPr>
              <w:pStyle w:val="TableContents"/>
              <w:bidi w:val="0"/>
              <w:spacing w:before="0" w:after="283"/>
              <w:jc w:val="left"/>
              <w:rPr/>
            </w:pPr>
            <w:r>
              <w:rPr/>
              <w:t> </w:t>
            </w:r>
            <w:bookmarkStart w:id="263" w:name="xdx_407_eus-gaap--RevenueFromContractWit"/>
            <w:bookmarkEnd w:id="263"/>
          </w:p>
        </w:tc>
      </w:tr>
      <w:tr>
        <w:trPr/>
        <w:tc>
          <w:tcPr>
            <w:tcW w:w="2300" w:type="dxa"/>
            <w:tcBorders/>
            <w:shd w:fill="CCEEFF" w:val="clear"/>
            <w:vAlign w:val="center"/>
          </w:tcPr>
          <w:p>
            <w:pPr>
              <w:pStyle w:val="TableContents"/>
              <w:bidi w:val="0"/>
              <w:spacing w:before="0" w:after="283"/>
              <w:jc w:val="left"/>
              <w:rPr/>
            </w:pPr>
            <w:r>
              <w:rPr/>
              <w:t>Vietnam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419,695</w:t>
            </w:r>
          </w:p>
        </w:tc>
        <w:tc>
          <w:tcPr>
            <w:tcW w:w="75" w:type="dxa"/>
            <w:tcBorders/>
            <w:shd w:fill="CCEEFF" w:val="clear"/>
            <w:vAlign w:val="center"/>
          </w:tcPr>
          <w:p>
            <w:pPr>
              <w:pStyle w:val="TableContents"/>
              <w:bidi w:val="0"/>
              <w:spacing w:before="0" w:after="283"/>
              <w:jc w:val="left"/>
              <w:rPr/>
            </w:pPr>
            <w:r>
              <w:rPr/>
              <w:t> </w:t>
            </w:r>
            <w:bookmarkStart w:id="264" w:name="xdx_40B_eus-gaap--RevenueFromContractWit"/>
            <w:bookmarkEnd w:id="264"/>
          </w:p>
        </w:tc>
      </w:tr>
      <w:tr>
        <w:trPr/>
        <w:tc>
          <w:tcPr>
            <w:tcW w:w="2300" w:type="dxa"/>
            <w:tcBorders/>
            <w:shd w:fill="FFFFFF" w:val="clear"/>
            <w:vAlign w:val="center"/>
          </w:tcPr>
          <w:p>
            <w:pPr>
              <w:pStyle w:val="TableContents"/>
              <w:bidi w:val="0"/>
              <w:spacing w:before="0" w:after="283"/>
              <w:jc w:val="left"/>
              <w:rPr/>
            </w:pPr>
            <w:r>
              <w:rPr/>
              <w:t>Spain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1,112,973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4,241,686</w:t>
            </w:r>
          </w:p>
        </w:tc>
        <w:tc>
          <w:tcPr>
            <w:tcW w:w="75" w:type="dxa"/>
            <w:tcBorders/>
            <w:shd w:fill="FFFFFF" w:val="clear"/>
            <w:vAlign w:val="center"/>
          </w:tcPr>
          <w:p>
            <w:pPr>
              <w:pStyle w:val="TableContents"/>
              <w:bidi w:val="0"/>
              <w:spacing w:before="0" w:after="283"/>
              <w:jc w:val="left"/>
              <w:rPr/>
            </w:pPr>
            <w:r>
              <w:rPr/>
              <w:t> </w:t>
            </w:r>
            <w:bookmarkStart w:id="265" w:name="xdx_403_eus-gaap--RevenueFromContractWit"/>
            <w:bookmarkEnd w:id="265"/>
          </w:p>
        </w:tc>
      </w:tr>
      <w:tr>
        <w:trPr/>
        <w:tc>
          <w:tcPr>
            <w:tcW w:w="2300" w:type="dxa"/>
            <w:tcBorders/>
            <w:shd w:fill="CCEEFF" w:val="clear"/>
            <w:vAlign w:val="center"/>
          </w:tcPr>
          <w:p>
            <w:pPr>
              <w:pStyle w:val="TableContents"/>
              <w:bidi w:val="0"/>
              <w:spacing w:before="0" w:after="283"/>
              <w:jc w:val="left"/>
              <w:rPr/>
            </w:pPr>
            <w:r>
              <w:rPr/>
              <w:t>UAE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2,771,442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3,302,712</w:t>
            </w:r>
          </w:p>
        </w:tc>
        <w:tc>
          <w:tcPr>
            <w:tcW w:w="75" w:type="dxa"/>
            <w:tcBorders/>
            <w:shd w:fill="CCEEFF" w:val="clear"/>
            <w:vAlign w:val="center"/>
          </w:tcPr>
          <w:p>
            <w:pPr>
              <w:pStyle w:val="TableContents"/>
              <w:bidi w:val="0"/>
              <w:spacing w:before="0" w:after="283"/>
              <w:jc w:val="left"/>
              <w:rPr/>
            </w:pPr>
            <w:r>
              <w:rPr/>
              <w:t> </w:t>
            </w:r>
            <w:bookmarkStart w:id="266" w:name="xdx_40F_eus-gaap--RevenueFromContractWit"/>
            <w:bookmarkEnd w:id="266"/>
          </w:p>
        </w:tc>
      </w:tr>
      <w:tr>
        <w:trPr/>
        <w:tc>
          <w:tcPr>
            <w:tcW w:w="2300" w:type="dxa"/>
            <w:tcBorders/>
            <w:shd w:fill="FFFFFF" w:val="clear"/>
            <w:vAlign w:val="center"/>
          </w:tcPr>
          <w:p>
            <w:pPr>
              <w:pStyle w:val="TableContents"/>
              <w:bidi w:val="0"/>
              <w:spacing w:before="0" w:after="283"/>
              <w:jc w:val="left"/>
              <w:rPr/>
            </w:pPr>
            <w:r>
              <w:rPr/>
              <w:t>Sri Lanka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5,084,222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351,511</w:t>
            </w:r>
          </w:p>
        </w:tc>
        <w:tc>
          <w:tcPr>
            <w:tcW w:w="75" w:type="dxa"/>
            <w:tcBorders/>
            <w:shd w:fill="FFFFFF" w:val="clear"/>
            <w:vAlign w:val="center"/>
          </w:tcPr>
          <w:p>
            <w:pPr>
              <w:pStyle w:val="TableContents"/>
              <w:bidi w:val="0"/>
              <w:spacing w:before="0" w:after="283"/>
              <w:jc w:val="left"/>
              <w:rPr/>
            </w:pPr>
            <w:r>
              <w:rPr/>
              <w:t> </w:t>
            </w:r>
            <w:bookmarkStart w:id="267" w:name="xdx_404_eus-gaap--RevenueFromContractWit"/>
            <w:bookmarkEnd w:id="267"/>
          </w:p>
        </w:tc>
      </w:tr>
      <w:tr>
        <w:trPr/>
        <w:tc>
          <w:tcPr>
            <w:tcW w:w="2300"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7,975,707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319,250</w:t>
            </w:r>
          </w:p>
        </w:tc>
        <w:tc>
          <w:tcPr>
            <w:tcW w:w="75" w:type="dxa"/>
            <w:tcBorders/>
            <w:shd w:fill="CCEEFF" w:val="clear"/>
            <w:vAlign w:val="center"/>
          </w:tcPr>
          <w:p>
            <w:pPr>
              <w:pStyle w:val="TableContents"/>
              <w:bidi w:val="0"/>
              <w:spacing w:before="0" w:after="283"/>
              <w:jc w:val="left"/>
              <w:rPr/>
            </w:pPr>
            <w:r>
              <w:rPr/>
              <w:t> </w:t>
            </w:r>
            <w:bookmarkStart w:id="268" w:name="xdx_40D_eus-gaap--RevenueFromContractWit"/>
            <w:bookmarkEnd w:id="268"/>
          </w:p>
        </w:tc>
      </w:tr>
      <w:tr>
        <w:trPr/>
        <w:tc>
          <w:tcPr>
            <w:tcW w:w="2300" w:type="dxa"/>
            <w:tcBorders/>
            <w:shd w:fill="FFFFFF" w:val="clear"/>
            <w:vAlign w:val="center"/>
          </w:tcPr>
          <w:p>
            <w:pPr>
              <w:pStyle w:val="TableContents"/>
              <w:bidi w:val="0"/>
              <w:spacing w:before="0" w:after="283"/>
              <w:jc w:val="left"/>
              <w:rPr/>
            </w:pPr>
            <w:r>
              <w:rPr/>
              <w:t>Australia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4,016,293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173,706</w:t>
            </w:r>
          </w:p>
        </w:tc>
        <w:tc>
          <w:tcPr>
            <w:tcW w:w="75" w:type="dxa"/>
            <w:tcBorders/>
            <w:shd w:fill="FFFFFF" w:val="clear"/>
            <w:vAlign w:val="center"/>
          </w:tcPr>
          <w:p>
            <w:pPr>
              <w:pStyle w:val="TableContents"/>
              <w:bidi w:val="0"/>
              <w:spacing w:before="0" w:after="283"/>
              <w:jc w:val="left"/>
              <w:rPr/>
            </w:pPr>
            <w:r>
              <w:rPr/>
              <w:t> </w:t>
            </w:r>
            <w:bookmarkStart w:id="269" w:name="xdx_403_eus-gaap--RevenueFromContractWit"/>
            <w:bookmarkEnd w:id="269"/>
          </w:p>
        </w:tc>
      </w:tr>
      <w:tr>
        <w:trPr/>
        <w:tc>
          <w:tcPr>
            <w:tcW w:w="2300" w:type="dxa"/>
            <w:tcBorders/>
            <w:shd w:fill="CCEEFF" w:val="clear"/>
            <w:vAlign w:val="center"/>
          </w:tcPr>
          <w:p>
            <w:pPr>
              <w:pStyle w:val="TableContents"/>
              <w:bidi w:val="0"/>
              <w:spacing w:before="0" w:after="283"/>
              <w:jc w:val="left"/>
              <w:rPr/>
            </w:pPr>
            <w:r>
              <w:rPr/>
              <w:t>Malta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1,867,620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70" w:name="xdx_402_eus-gaap--RevenueFromContractWit"/>
            <w:bookmarkEnd w:id="270"/>
          </w:p>
        </w:tc>
      </w:tr>
      <w:tr>
        <w:trPr/>
        <w:tc>
          <w:tcPr>
            <w:tcW w:w="2300" w:type="dxa"/>
            <w:tcBorders/>
            <w:shd w:fill="FFFFFF" w:val="clear"/>
            <w:vAlign w:val="center"/>
          </w:tcPr>
          <w:p>
            <w:pPr>
              <w:pStyle w:val="TableContents"/>
              <w:bidi w:val="0"/>
              <w:spacing w:before="0" w:after="283"/>
              <w:jc w:val="left"/>
              <w:rPr/>
            </w:pPr>
            <w:r>
              <w:rPr/>
              <w:t>Brazil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1,293,748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408,174</w:t>
            </w:r>
          </w:p>
        </w:tc>
        <w:tc>
          <w:tcPr>
            <w:tcW w:w="75" w:type="dxa"/>
            <w:tcBorders/>
            <w:shd w:fill="FFFFFF" w:val="clear"/>
            <w:vAlign w:val="center"/>
          </w:tcPr>
          <w:p>
            <w:pPr>
              <w:pStyle w:val="TableContents"/>
              <w:bidi w:val="0"/>
              <w:spacing w:before="0" w:after="283"/>
              <w:jc w:val="left"/>
              <w:rPr/>
            </w:pPr>
            <w:r>
              <w:rPr/>
              <w:t> </w:t>
            </w:r>
            <w:bookmarkStart w:id="271" w:name="xdx_408_eus-gaap--RevenueFromContractWit"/>
            <w:bookmarkEnd w:id="271"/>
          </w:p>
        </w:tc>
      </w:tr>
      <w:tr>
        <w:trPr/>
        <w:tc>
          <w:tcPr>
            <w:tcW w:w="2300" w:type="dxa"/>
            <w:tcBorders/>
            <w:shd w:fill="CCEEFF" w:val="clear"/>
            <w:vAlign w:val="center"/>
          </w:tcPr>
          <w:p>
            <w:pPr>
              <w:pStyle w:val="TableContents"/>
              <w:bidi w:val="0"/>
              <w:spacing w:before="0" w:after="283"/>
              <w:jc w:val="left"/>
              <w:rPr/>
            </w:pPr>
            <w:r>
              <w:rPr/>
              <w:t>Mozambique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1,067,883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72" w:name="xdx_407_eus-gaap--RevenueFromContractWit"/>
            <w:bookmarkEnd w:id="272"/>
          </w:p>
        </w:tc>
      </w:tr>
      <w:tr>
        <w:trPr/>
        <w:tc>
          <w:tcPr>
            <w:tcW w:w="230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5,007,997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3,542,643</w:t>
            </w:r>
          </w:p>
        </w:tc>
        <w:tc>
          <w:tcPr>
            <w:tcW w:w="75" w:type="dxa"/>
            <w:tcBorders/>
            <w:shd w:fill="FFFFFF" w:val="clear"/>
            <w:vAlign w:val="center"/>
          </w:tcPr>
          <w:p>
            <w:pPr>
              <w:pStyle w:val="TableContents"/>
              <w:bidi w:val="0"/>
              <w:spacing w:before="0" w:after="283"/>
              <w:jc w:val="left"/>
              <w:rPr/>
            </w:pPr>
            <w:r>
              <w:rPr/>
              <w:t> </w:t>
            </w:r>
            <w:bookmarkStart w:id="273" w:name="xdx_402_eus-gaap--RevenueFromContractWit"/>
            <w:bookmarkEnd w:id="273"/>
          </w:p>
        </w:tc>
      </w:tr>
      <w:tr>
        <w:trPr/>
        <w:tc>
          <w:tcPr>
            <w:tcW w:w="2300"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196,654,955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114,618,812</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Brokerage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74" w:name="xdx_405_eus-gaap--RevenueFromContractWit"/>
            <w:bookmarkEnd w:id="274"/>
          </w:p>
        </w:tc>
      </w:tr>
      <w:tr>
        <w:trPr/>
        <w:tc>
          <w:tcPr>
            <w:tcW w:w="2300"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1,973</w:t>
            </w:r>
          </w:p>
        </w:tc>
        <w:tc>
          <w:tcPr>
            <w:tcW w:w="75" w:type="dxa"/>
            <w:tcBorders/>
            <w:shd w:fill="FFFFFF" w:val="clear"/>
            <w:vAlign w:val="center"/>
          </w:tcPr>
          <w:p>
            <w:pPr>
              <w:pStyle w:val="TableContents"/>
              <w:bidi w:val="0"/>
              <w:spacing w:before="0" w:after="283"/>
              <w:jc w:val="left"/>
              <w:rPr/>
            </w:pPr>
            <w:r>
              <w:rPr/>
              <w:t> </w:t>
            </w:r>
            <w:bookmarkStart w:id="275" w:name="xdx_40D_eus-gaap--RevenueFromContractWit"/>
            <w:bookmarkEnd w:id="275"/>
          </w:p>
        </w:tc>
      </w:tr>
      <w:tr>
        <w:trPr/>
        <w:tc>
          <w:tcPr>
            <w:tcW w:w="2300"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1,973</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Freight services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76" w:name="xdx_405_eus-gaap--RevenueFromContractWit"/>
            <w:bookmarkEnd w:id="276"/>
          </w:p>
        </w:tc>
      </w:tr>
      <w:tr>
        <w:trPr/>
        <w:tc>
          <w:tcPr>
            <w:tcW w:w="2300"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447,000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77" w:name="xdx_400_eus-gaap--RevenueFromContractWit"/>
            <w:bookmarkEnd w:id="277"/>
          </w:p>
        </w:tc>
      </w:tr>
      <w:tr>
        <w:trPr/>
        <w:tc>
          <w:tcPr>
            <w:tcW w:w="2300"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447,000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78" w:name="xdx_40E_eus-gaap--RevenueFromContractWit"/>
            <w:bookmarkEnd w:id="278"/>
          </w:p>
        </w:tc>
      </w:tr>
      <w:tr>
        <w:trPr/>
        <w:tc>
          <w:tcPr>
            <w:tcW w:w="23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197,109,755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114,620,785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9" w:name="xdx_8AA_zaMubuM1LZG4"/>
      <w:bookmarkEnd w:id="27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80" w:name="xdx_842_ecustom--ContractAssetsAndContra"/>
      <w:bookmarkEnd w:id="280"/>
      <w:r>
        <w:rPr>
          <w:rFonts w:ascii="Times New Roman;Times;Serif" w:hAnsi="Times New Roman;Times;Serif"/>
          <w:b/>
          <w:i/>
          <w:caps w:val="false"/>
          <w:smallCaps w:val="false"/>
          <w:sz w:val="20"/>
        </w:rPr>
        <w:t>Contract Assets and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classifies its right to consideration in exchange for goods 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accounts receivable in its unaudited condensed consolidated balance sheets when it transfers the goods or performs services in advance of receiving consideration and it has the unconditional right to receive consideration. A contract asset is recorded when the Group has transferred the goods or services to the customer before payment is received or is due, and the Group’s right to consideration is conditional on future performance or other factors in the contract. As of June 30, 2026 and December 31, 2025, the Group did </w:t>
      </w:r>
      <w:bookmarkStart w:id="281" w:name="xdx_90F_eus-gaap--ContractWithCustomerAs"/>
      <w:bookmarkStart w:id="282" w:name="xdx_908_eus-gaap--ContractWithCustomerAs"/>
      <w:bookmarkEnd w:id="281"/>
      <w:bookmarkEnd w:id="282"/>
      <w:r>
        <w:rPr>
          <w:rFonts w:ascii="Times New Roman;Times;Serif" w:hAnsi="Times New Roman;Times;Serif"/>
          <w:b w:val="false"/>
          <w:i w:val="false"/>
          <w:caps w:val="false"/>
          <w:smallCaps w:val="false"/>
          <w:sz w:val="20"/>
        </w:rPr>
        <w:t>not have any 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are recognized if the Group receives consideration prior to satisfying the performance obligations, which include customer advances and deferred revenue under service arrangements. As of June 30, 2026 and December 31, 2025, the Group did </w:t>
      </w:r>
      <w:bookmarkStart w:id="283" w:name="xdx_909_eus-gaap--ContractWithCustomerLi"/>
      <w:bookmarkStart w:id="284" w:name="xdx_903_eus-gaap--ContractWithCustomerLi"/>
      <w:bookmarkEnd w:id="283"/>
      <w:bookmarkEnd w:id="284"/>
      <w:r>
        <w:rPr>
          <w:rFonts w:ascii="Times New Roman;Times;Serif" w:hAnsi="Times New Roman;Times;Serif"/>
          <w:b w:val="false"/>
          <w:i w:val="false"/>
          <w:caps w:val="false"/>
          <w:smallCaps w:val="false"/>
          <w:sz w:val="20"/>
        </w:rPr>
        <w:t>not have any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85" w:name="xdx_840_eus-gaap--CostOfSalesPolicyTextB"/>
      <w:bookmarkEnd w:id="285"/>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primarily consists of the cost of marine fuels and commission fees incurred during the sales and distribution of marine fuels.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86" w:name="xdx_84C_eus-gaap--PostemploymentBenefitP"/>
      <w:bookmarkEnd w:id="286"/>
      <w:r>
        <w:rPr>
          <w:rFonts w:ascii="Times New Roman;Times;Serif" w:hAnsi="Times New Roman;Times;Serif"/>
          <w:b/>
          <w:i/>
          <w:caps w:val="false"/>
          <w:smallCaps w:val="false"/>
          <w:sz w:val="20"/>
        </w:rPr>
        <w:t>Employee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of the Group located in Singapore participate in a compulsory retirement benefit scheme, as mandated by local laws. Contributions to this scheme are made by both the Group and its employees, based on certain percentages of the employees’ relevant salary income, which varies by age bracket. These contributions are subject to a monthly income cap, which was SG$</w:t>
      </w:r>
      <w:bookmarkStart w:id="287" w:name="xdx_90F_eus-gaap--DefinedContributionPla"/>
      <w:bookmarkEnd w:id="287"/>
      <w:r>
        <w:rPr>
          <w:rFonts w:ascii="Times New Roman;Times;Serif" w:hAnsi="Times New Roman;Times;Serif"/>
          <w:b w:val="false"/>
          <w:i w:val="false"/>
          <w:caps w:val="false"/>
          <w:smallCaps w:val="false"/>
          <w:sz w:val="20"/>
        </w:rPr>
        <w:t>7,400 (equivalent to $</w:t>
      </w:r>
      <w:bookmarkStart w:id="288" w:name="xdx_904_eus-gaap--DefinedContributionPla"/>
      <w:bookmarkEnd w:id="288"/>
      <w:r>
        <w:rPr>
          <w:rFonts w:ascii="Times New Roman;Times;Serif" w:hAnsi="Times New Roman;Times;Serif"/>
          <w:b w:val="false"/>
          <w:i w:val="false"/>
          <w:caps w:val="false"/>
          <w:smallCaps w:val="false"/>
          <w:sz w:val="20"/>
        </w:rPr>
        <w:t>5,801) from January 1, 2025, increased to SG$</w:t>
      </w:r>
      <w:bookmarkStart w:id="289" w:name="xdx_90F_eus-gaap--DefinedContributionPla"/>
      <w:bookmarkEnd w:id="289"/>
      <w:r>
        <w:rPr>
          <w:rFonts w:ascii="Times New Roman;Times;Serif" w:hAnsi="Times New Roman;Times;Serif"/>
          <w:b w:val="false"/>
          <w:i w:val="false"/>
          <w:caps w:val="false"/>
          <w:smallCaps w:val="false"/>
          <w:sz w:val="20"/>
        </w:rPr>
        <w:t>8,000 (equivalent to $</w:t>
      </w:r>
      <w:bookmarkStart w:id="290" w:name="xdx_90E_eus-gaap--DefinedContributionPla"/>
      <w:bookmarkEnd w:id="290"/>
      <w:r>
        <w:rPr>
          <w:rFonts w:ascii="Times New Roman;Times;Serif" w:hAnsi="Times New Roman;Times;Serif"/>
          <w:b w:val="false"/>
          <w:i w:val="false"/>
          <w:caps w:val="false"/>
          <w:smallCaps w:val="false"/>
          <w:sz w:val="20"/>
        </w:rPr>
        <w:t>6,272) effective from January 1, 2026. For the six months ended June 30, 2026 and 2025, the total amounts charged to the unaudited condensed consolidated statements of income and comprehensive income for the Group’s contributions were $</w:t>
      </w:r>
      <w:bookmarkStart w:id="291" w:name="xdx_905_eus-gaap--DefinedBenefitPlanPlan"/>
      <w:bookmarkEnd w:id="291"/>
      <w:r>
        <w:rPr>
          <w:rFonts w:ascii="Times New Roman;Times;Serif" w:hAnsi="Times New Roman;Times;Serif"/>
          <w:b w:val="false"/>
          <w:i w:val="false"/>
          <w:caps w:val="false"/>
          <w:smallCaps w:val="false"/>
          <w:sz w:val="20"/>
        </w:rPr>
        <w:t>120,343 and $</w:t>
      </w:r>
      <w:bookmarkStart w:id="292" w:name="xdx_90B_eus-gaap--DefinedBenefitPlanPlan"/>
      <w:bookmarkEnd w:id="292"/>
      <w:r>
        <w:rPr>
          <w:rFonts w:ascii="Times New Roman;Times;Serif" w:hAnsi="Times New Roman;Times;Serif"/>
          <w:b w:val="false"/>
          <w:i w:val="false"/>
          <w:caps w:val="false"/>
          <w:smallCaps w:val="false"/>
          <w:sz w:val="20"/>
        </w:rPr>
        <w:t>75,957,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93" w:name="xdx_840_eus-gaap--DebtPolicyTextBlock_zv"/>
      <w:bookmarkEnd w:id="293"/>
      <w:r>
        <w:rPr>
          <w:rFonts w:ascii="Times New Roman;Times;Serif" w:hAnsi="Times New Roman;Times;Serif"/>
          <w:b/>
          <w:i/>
          <w:caps w:val="false"/>
          <w:smallCaps w:val="false"/>
          <w:sz w:val="20"/>
        </w:rPr>
        <w:t>Borrowing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borrowing costs are recognized as interest expense in the unaudited condensed consolidated statements of income and comprehensive income in the period in which they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94" w:name="xdx_843_eus-gaap--IncomeTaxPolicyTextBlo"/>
      <w:bookmarkEnd w:id="294"/>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income taxes under ASC 740, Income Taxes. Provision for income taxes consists of current taxes and deferred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is recognized based on the results for the year as adjusted for items which are non-assessable or disallowed. It is calculated using tax rates that have been enacted as of the balance sheet date.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recognized in respect of temporary differences arising from differences between the carrying amount of assets and liabilities in the unaudited condensed consolidated financial statements and the corresponding tax basis. Deferred tax is calculated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Penalties and interest incurred related to underpayment of income tax are classified as income tax expense in the period incurred. The Group did not have any significant uncertain tax positions nor interest and penalty associated with tax positions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95" w:name="xdx_84D_eus-gaap--SegmentReportingPolicy"/>
      <w:bookmarkEnd w:id="295"/>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management approach to determine reportable operating segments. The management approach considers the internal organization and reporting used by the Company’s chief operating decision maker (“CODM”) for making decisions, allocating resources and assessing performance. The Group does not distinguish revenues, costs and expenses between segments in its internal reporting, but instead reports costs and expenses by nature as a whole.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6" w:name="xdx_840_eus-gaap--ComprehensiveIncomePol"/>
      <w:bookmarkEnd w:id="296"/>
      <w:r>
        <w:rPr>
          <w:rFonts w:ascii="Times New Roman;Times;Serif" w:hAnsi="Times New Roman;Times;Serif"/>
          <w:b/>
          <w:i/>
          <w:caps w:val="false"/>
          <w:smallCaps w:val="false"/>
          <w:sz w:val="20"/>
        </w:rPr>
        <w:t>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is defined as the changes in equity of the Group during a period from transactions and other events and circumstances excluding transactions resulting from investments by owners and distributions to owners. Comprehensive income consists of two components, net income and other comprehensive income. Other comprehensive income refers to revenue, expenses, gains and losses that under U.S. GAAP are recorded as an element of shareholders’ equity but are excluded from net income. For the six months ended June 30, 2026 and 2025, the Group recognized other comprehensive loss of $</w:t>
      </w:r>
      <w:bookmarkStart w:id="297" w:name="xdx_90F_eus-gaap--OtherComprehensiveInco"/>
      <w:bookmarkEnd w:id="297"/>
      <w:r>
        <w:rPr>
          <w:rFonts w:ascii="Times New Roman;Times;Serif" w:hAnsi="Times New Roman;Times;Serif"/>
          <w:b w:val="false"/>
          <w:i w:val="false"/>
          <w:caps w:val="false"/>
          <w:smallCaps w:val="false"/>
          <w:sz w:val="20"/>
        </w:rPr>
        <w:t>370 and other comprehensive income of $</w:t>
      </w:r>
      <w:bookmarkStart w:id="298" w:name="xdx_904_eus-gaap--OtherComprehensiveInco"/>
      <w:bookmarkEnd w:id="298"/>
      <w:r>
        <w:rPr>
          <w:rFonts w:ascii="Times New Roman;Times;Serif" w:hAnsi="Times New Roman;Times;Serif"/>
          <w:b w:val="false"/>
          <w:i w:val="false"/>
          <w:caps w:val="false"/>
          <w:smallCaps w:val="false"/>
          <w:sz w:val="20"/>
        </w:rPr>
        <w:t>147,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9" w:name="xdx_843_eus-gaap--EarningsPerSharePolicy"/>
      <w:bookmarkEnd w:id="299"/>
      <w:r>
        <w:rPr>
          <w:rFonts w:ascii="Times New Roman;Times;Serif" w:hAnsi="Times New Roman;Times;Serif"/>
          <w:b/>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is calculated in accordance with ASC 260, Earnings Per Share. Basic earnings per share is computed by dividing net income attributable to each class of ordinary shareholders by the weighted average number of shares of that particular class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is calculated by dividing net income attributable to each class of ordinary shareholders, as adjusted for the effect of dilutive ordinary equivalent shares of that class, if any, by the weighted average number of that particular class of ordinary and dilutive ordinary equivalent shares outstanding during the period. Ordinary equivalent shares consist of the ordinary shares issuable upon the conversion of one class of ordinary shares to another in accordance with the Memorandum and Articles of Association of the Company. Ordinary share equivalents are excluded from the computation of diluted earnings per share if their effects would be anti-dilutive. Basic and diluted earnings per ordinary share are presented in the Group’s unaudited condensed consolidated statements of income and comprehensive income.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each Class B ordinary share could be converted any time at the holder’s option into one Class A ordinary share whilst Class A ordinary shares could not be converted into Class B ordinary shares. In addition, holders of both Class A and Class B ordinary shares were entitled to receive dividends paid by the Company at the same rate and had equal rights to the surplus assets of the Company upon its liquidation, as stipulated in the Company’s Memorandum and Articles of Association. These shares ranked pari passu in all other respects. Basic and diluted earnings per share are calculated by referring to the rights and characteristics of these two classes of ordinary shares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0" w:name="xdx_848_eus-gaap--ForeignCurrencyTransac"/>
      <w:bookmarkEnd w:id="300"/>
      <w:r>
        <w:rPr>
          <w:rFonts w:ascii="Times New Roman;Times;Serif" w:hAnsi="Times New Roman;Times;Serif"/>
          <w:b/>
          <w:i/>
          <w:caps w:val="false"/>
          <w:smallCaps w:val="false"/>
          <w:sz w:val="20"/>
        </w:rPr>
        <w:t>Translation of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principal place of operations is Singapore. The financial position and results of its operations are determined using the U.S. Dollars (“US$” or “$”), as the functional currency. The Company’s unaudited condensed consolidated financial statements are presented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 gains and losses are recognized upon settlement of foreign currency transactions. In addition, for unsettled foreign currency transactions, foreign currency transaction gains and losses are recognized for changes between the transaction exchange rates and month-end exchange rates. Foreign currency transaction gains and losses are included in other expense (income) in the unaudited condensed consolidated statements of income and comprehensive income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subsidiaries whose functional currency is not in US$, assets and liabilities are translated into US$ at period-end exchange rates, and revenues and expenses are translated at weighted-average exchange rates for the period. Foreign currency translation adjustments arising from the consolidation of these foreign operations are recognized in other comprehensive income (loss) and accumulated as a separate component of equity within accumulated other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1" w:name="xdx_84E_eus-gaap--FairValueOfFinancialIn"/>
      <w:bookmarkEnd w:id="301"/>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 financial instrument is defined as the exchange price that would be received from an asset or paid to transfer a liability (as exit price) in the principal or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Quoted prices in active markets for similar assets and liabilities, or other inputs that are observable for the asset or liability, either directly or indirectly, for substantially the full term of the financial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financial instruments of the Group comprised primarily cash and cash equivalents, accounts receivable, other assets, short-term bank loans, accounts payable, accrued expenses and other liabilities. The Group concludes that the carrying amounts of these financial instruments approximate their fair values because of the short-term nature of these instruments.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2" w:name="xdx_841_ecustom--RelatedPartiesPolicyTex"/>
      <w:bookmarkEnd w:id="302"/>
      <w:r>
        <w:rPr>
          <w:rFonts w:ascii="Times New Roman;Times;Serif" w:hAnsi="Times New Roman;Times;Serif"/>
          <w:b/>
          <w:i/>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3" w:name="xdx_84F_eus-gaap--CommitmentsAndContinge"/>
      <w:bookmarkEnd w:id="303"/>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Group is subject to contingencies, such as legal proceedings and claims arising out of its business, which cover a wide range of matters. Liabilities for contingencies are recorded when it is probable that a liability has been incurred and the amount of the assessment can be reasonably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is incurred and the amount of the liability can be estimated, then the estimated liability is accrued in the Group’s unaudited condensed consolidated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contingencies considered remote are generally not disclosed unless they involve guarantees, in which case the nature of the guarantee would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04" w:name="xdx_840_eus-gaap--NewAccountingPronounce"/>
      <w:bookmarkEnd w:id="304"/>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in the preparation of the unaudited interim condensed consolidated financial statements are consistent with those followed in the preparation of the Group’s annual consolidated financial statements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which expands reportable segment disclosure requirements, primarily by requiring disclosures of significant segment expenses on an annual and interim basis. The adoption of ASU 2023-07 did not have a material impact on the Group’s condensed consolidated financial statements or footnote disclosures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which requires enhanced rate reconciliation disclosures and expanded disclosures on income taxes paid. The Group adopted ASU 2023-09 effective January 1, 2026. As the standard’s primary disclosure requirements (such as the disaggregated tax rate reconciliation) apply to annual reporting periods, the adoption had no material impact on the condensed consolidated financial statements for the six-month period ended June 30, 2026. The expanded disclosures will be included in the Group’s annual consolidated financial statements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Income Statement—Reporting Comprehensive Income—Expense Disaggregation Disclosures (Subtopic 220-40): Clarifying the Effective Date (ASU 2025-01), which clarifies the effective date of ASU 2024-03. ASU 2025-01 is effective for annual periods beginning after December 15, 2026, and interim periods within annual periods beginning after December 15, 2027. Early adoption is permitted. The Group’s management does not believe the adoption of ASU 2025-01 will have a material impact on its consolidated financial statements and disclosures.</w:t>
      </w:r>
    </w:p>
    <w:p>
      <w:pPr>
        <w:pStyle w:val="TextBody"/>
        <w:bidi w:val="0"/>
        <w:spacing w:before="0" w:after="0"/>
        <w:ind w:left="0" w:right="0" w:hanging="0"/>
        <w:jc w:val="both"/>
        <w:rPr>
          <w:caps w:val="false"/>
          <w:smallCaps w:val="false"/>
        </w:rPr>
      </w:pPr>
      <w:bookmarkStart w:id="305" w:name="xdx_858_zBfyULOMUF3l"/>
      <w:bookmarkEnd w:id="30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6" w:name="xdx_802_ecustom--SignificantRisksTextBlo"/>
      <w:bookmarkEnd w:id="306"/>
      <w:r>
        <w:rPr>
          <w:rFonts w:ascii="Times New Roman;Times;Serif" w:hAnsi="Times New Roman;Times;Serif"/>
          <w:b/>
          <w:i w:val="false"/>
          <w:caps w:val="false"/>
          <w:smallCaps w:val="false"/>
          <w:sz w:val="20"/>
        </w:rPr>
        <w:t xml:space="preserve">3. </w:t>
      </w:r>
      <w:bookmarkStart w:id="307" w:name="xdx_82C_zKnrzaB6goWd"/>
      <w:bookmarkEnd w:id="307"/>
      <w:r>
        <w:rPr>
          <w:rFonts w:ascii="Times New Roman;Times;Serif" w:hAnsi="Times New Roman;Times;Serif"/>
          <w:b/>
          <w:i w:val="false"/>
          <w:caps w:val="false"/>
          <w:smallCaps w:val="false"/>
          <w:sz w:val="20"/>
        </w:rPr>
        <w:t>Significant Risks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and its principal operating subsidiaries is the US$, and these unaudited condensed consolidated financial statements are presented in US$. Certain foreign subsidiaries maintain functional currencies other than US$ based on the primary economic environment in which they operate.. The Group’s business activities and its assets and liabilities are predominately denominated in the functional currency. Therefore, the Group is not exposed to significant foreign currency risk as majority of the operations and transactions are denominated in the functional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and credit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Group to the credit risks consist of cash and cash equivalents, accounts receivable and other assets. The maximum exposures of such assets to credit risk are their carrying amounts as of the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w:t>
      </w:r>
      <w:bookmarkStart w:id="308" w:name="xdx_90A_eus-gaap--DepositsAssets_iI_c202"/>
      <w:bookmarkEnd w:id="308"/>
      <w:r>
        <w:rPr>
          <w:rFonts w:ascii="Times New Roman;Times;Serif" w:hAnsi="Times New Roman;Times;Serif"/>
          <w:b w:val="false"/>
          <w:i w:val="false"/>
          <w:caps w:val="false"/>
          <w:smallCaps w:val="false"/>
          <w:sz w:val="20"/>
        </w:rPr>
        <w:t>12,185,940 and $</w:t>
      </w:r>
      <w:bookmarkStart w:id="309" w:name="xdx_901_eus-gaap--DepositsAssets_iI_c202"/>
      <w:bookmarkEnd w:id="309"/>
      <w:r>
        <w:rPr>
          <w:rFonts w:ascii="Times New Roman;Times;Serif" w:hAnsi="Times New Roman;Times;Serif"/>
          <w:b w:val="false"/>
          <w:i w:val="false"/>
          <w:caps w:val="false"/>
          <w:smallCaps w:val="false"/>
          <w:sz w:val="20"/>
        </w:rPr>
        <w:t>12,542,539 were deposited with these banks, respectively. The Group deposits majority of its cash with reputable banks located in Singapore and Dubai. Balances maintained with banks in Singapore are insured under the Deposit Insurance Scheme introduced by the Singapore Deposit Insurance Corporation Limited. The maximum insured amount was SG$</w:t>
      </w:r>
      <w:bookmarkStart w:id="310" w:name="xdx_907_eus-gaap--CashFDICInsuredAmount_"/>
      <w:bookmarkEnd w:id="310"/>
      <w:r>
        <w:rPr>
          <w:rFonts w:ascii="Times New Roman;Times;Serif" w:hAnsi="Times New Roman;Times;Serif"/>
          <w:b w:val="false"/>
          <w:i w:val="false"/>
          <w:caps w:val="false"/>
          <w:smallCaps w:val="false"/>
          <w:sz w:val="20"/>
        </w:rPr>
        <w:t>75,000 (equivalent to $</w:t>
      </w:r>
      <w:bookmarkStart w:id="311" w:name="xdx_90A_eus-gaap--CashFDICInsuredAmount_"/>
      <w:bookmarkEnd w:id="311"/>
      <w:r>
        <w:rPr>
          <w:rFonts w:ascii="Times New Roman;Times;Serif" w:hAnsi="Times New Roman;Times;Serif"/>
          <w:b w:val="false"/>
          <w:i w:val="false"/>
          <w:caps w:val="false"/>
          <w:smallCaps w:val="false"/>
          <w:sz w:val="20"/>
        </w:rPr>
        <w:t>58,796) until March 31, 2024, after which it was increased to SG$</w:t>
      </w:r>
      <w:bookmarkStart w:id="312" w:name="xdx_902_eus-gaap--CashFDICInsuredAmount_"/>
      <w:bookmarkEnd w:id="312"/>
      <w:r>
        <w:rPr>
          <w:rFonts w:ascii="Times New Roman;Times;Serif" w:hAnsi="Times New Roman;Times;Serif"/>
          <w:b w:val="false"/>
          <w:i w:val="false"/>
          <w:caps w:val="false"/>
          <w:smallCaps w:val="false"/>
          <w:sz w:val="20"/>
        </w:rPr>
        <w:t>100,000 (equivalent to $</w:t>
      </w:r>
      <w:bookmarkStart w:id="313" w:name="xdx_90F_eus-gaap--CashFDICInsuredAmount_"/>
      <w:bookmarkEnd w:id="313"/>
      <w:r>
        <w:rPr>
          <w:rFonts w:ascii="Times New Roman;Times;Serif" w:hAnsi="Times New Roman;Times;Serif"/>
          <w:b w:val="false"/>
          <w:i w:val="false"/>
          <w:caps w:val="false"/>
          <w:smallCaps w:val="false"/>
          <w:sz w:val="20"/>
        </w:rPr>
        <w:t>78,394) commenced from April 1, 2024, for each depositor at one bank, whilst the balances maintained by the Group may at times exceed the insured limits. Balances maintained with banks in Dubai are insured under the statutory Deposit Guarantee Scheme. The maximum insured amount was AED$</w:t>
      </w:r>
      <w:bookmarkStart w:id="314" w:name="xdx_907_eus-gaap--CashFDICInsuredAmount_"/>
      <w:bookmarkEnd w:id="314"/>
      <w:r>
        <w:rPr>
          <w:rFonts w:ascii="Times New Roman;Times;Serif" w:hAnsi="Times New Roman;Times;Serif"/>
          <w:b w:val="false"/>
          <w:i w:val="false"/>
          <w:caps w:val="false"/>
          <w:smallCaps w:val="false"/>
          <w:sz w:val="20"/>
        </w:rPr>
        <w:t>100,000 (equivalent to $</w:t>
      </w:r>
      <w:bookmarkStart w:id="315" w:name="xdx_902_eus-gaap--CashFDICInsuredAmount_"/>
      <w:bookmarkEnd w:id="315"/>
      <w:r>
        <w:rPr>
          <w:rFonts w:ascii="Times New Roman;Times;Serif" w:hAnsi="Times New Roman;Times;Serif"/>
          <w:b w:val="false"/>
          <w:i w:val="false"/>
          <w:caps w:val="false"/>
          <w:smallCaps w:val="false"/>
          <w:sz w:val="20"/>
        </w:rPr>
        <w:t>27,229), for each depositor at one bank, whilst the balances maintained by the Group may at times exceed the insured limits. Cash balances maintained with banks in Singapore and Dubai are not otherwise insured by the Federal Deposit Insurance Corporation or other programs. The Group has not experienced any losses in these bank accounts and management believes that the Group is not exposed to any significant credit risk on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that potentially subject the Company to significant credit risks primarily consist of accounts receivable and other assets. The Group performs regular and ongoing credit assessments of the counterparts’ financial conditions and credit histories. The Group also assesses historical collection trends, aging of receivables and general economic conditions. The Group considers that it has adequate controls over these receivables in order to minimize the related credit risk. As of June 30, 2026 and December 31, 2025, the balances of allowance for credit losses were $</w:t>
      </w:r>
      <w:bookmarkStart w:id="316" w:name="xdx_90A_eus-gaap--FinancingReceivableAll"/>
      <w:bookmarkEnd w:id="316"/>
      <w:r>
        <w:rPr>
          <w:rFonts w:ascii="Times New Roman;Times;Serif" w:hAnsi="Times New Roman;Times;Serif"/>
          <w:b w:val="false"/>
          <w:i w:val="false"/>
          <w:caps w:val="false"/>
          <w:smallCaps w:val="false"/>
          <w:sz w:val="20"/>
        </w:rPr>
        <w:t>12,148 and $</w:t>
      </w:r>
      <w:bookmarkStart w:id="317" w:name="xdx_909_eus-gaap--FinancingReceivableAll"/>
      <w:bookmarkEnd w:id="317"/>
      <w:r>
        <w:rPr>
          <w:rFonts w:ascii="Times New Roman;Times;Serif" w:hAnsi="Times New Roman;Times;Serif"/>
          <w:b w:val="false"/>
          <w:i w:val="false"/>
          <w:caps w:val="false"/>
          <w:smallCaps w:val="false"/>
          <w:sz w:val="20"/>
        </w:rPr>
        <w:t>12,148,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most of the Group’s assets were located in Singapore and Dubai. At the same time, the Group considers that it is exposed to the following concentrations of risk:</w:t>
      </w:r>
    </w:p>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45"/>
        <w:gridCol w:w="138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customers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there were two customers accounted for </w:t>
      </w:r>
      <w:bookmarkStart w:id="318" w:name="xdx_90F_eus-gaap--ConcentrationRiskPerce"/>
      <w:bookmarkEnd w:id="318"/>
      <w:r>
        <w:rPr>
          <w:rFonts w:ascii="Times New Roman;Times;Serif" w:hAnsi="Times New Roman;Times;Serif"/>
          <w:b w:val="false"/>
          <w:i w:val="false"/>
          <w:caps w:val="false"/>
          <w:smallCaps w:val="false"/>
          <w:sz w:val="20"/>
        </w:rPr>
        <w:t xml:space="preserve">10% or more of the Group’s revenues. Revenue from two customers for the six months ended June 30, 2026 represented </w:t>
      </w:r>
      <w:bookmarkStart w:id="319" w:name="xdx_907_eus-gaap--ConcentrationRiskPerce"/>
      <w:bookmarkEnd w:id="319"/>
      <w:r>
        <w:rPr>
          <w:rFonts w:ascii="Times New Roman;Times;Serif" w:hAnsi="Times New Roman;Times;Serif"/>
          <w:b w:val="false"/>
          <w:i w:val="false"/>
          <w:caps w:val="false"/>
          <w:smallCaps w:val="false"/>
          <w:sz w:val="20"/>
        </w:rPr>
        <w:t xml:space="preserve">15% and </w:t>
      </w:r>
      <w:bookmarkStart w:id="320" w:name="xdx_90C_eus-gaap--ConcentrationRiskPerce"/>
      <w:bookmarkEnd w:id="320"/>
      <w:r>
        <w:rPr>
          <w:rFonts w:ascii="Times New Roman;Times;Serif" w:hAnsi="Times New Roman;Times;Serif"/>
          <w:b w:val="false"/>
          <w:i w:val="false"/>
          <w:caps w:val="false"/>
          <w:smallCaps w:val="false"/>
          <w:sz w:val="20"/>
        </w:rPr>
        <w:t xml:space="preserve">10% of the Group’s total revenue for that period, respectively. For the six months ended June 30, 2025, there was one customer accounted for </w:t>
      </w:r>
      <w:bookmarkStart w:id="321" w:name="xdx_902_eus-gaap--ConcentrationRiskPerce"/>
      <w:bookmarkEnd w:id="321"/>
      <w:r>
        <w:rPr>
          <w:rFonts w:ascii="Times New Roman;Times;Serif" w:hAnsi="Times New Roman;Times;Serif"/>
          <w:b w:val="false"/>
          <w:i w:val="false"/>
          <w:caps w:val="false"/>
          <w:smallCaps w:val="false"/>
          <w:sz w:val="20"/>
        </w:rPr>
        <w:t xml:space="preserve">10% or more of the Group’s revenue. Revenue from that customer for the six months ended June 30, 2025 represented </w:t>
      </w:r>
      <w:bookmarkStart w:id="322" w:name="xdx_909_eus-gaap--ConcentrationRiskPerce"/>
      <w:bookmarkEnd w:id="322"/>
      <w:r>
        <w:rPr>
          <w:rFonts w:ascii="Times New Roman;Times;Serif" w:hAnsi="Times New Roman;Times;Serif"/>
          <w:b w:val="false"/>
          <w:i w:val="false"/>
          <w:caps w:val="false"/>
          <w:smallCaps w:val="false"/>
          <w:sz w:val="20"/>
        </w:rPr>
        <w:t>12% of the Group’s total revenue for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was one customer whose receivable accounted for </w:t>
      </w:r>
      <w:bookmarkStart w:id="323" w:name="xdx_902_eus-gaap--ConcentrationRiskPerce"/>
      <w:bookmarkEnd w:id="323"/>
      <w:r>
        <w:rPr>
          <w:rFonts w:ascii="Times New Roman;Times;Serif" w:hAnsi="Times New Roman;Times;Serif"/>
          <w:b w:val="false"/>
          <w:i w:val="false"/>
          <w:caps w:val="false"/>
          <w:smallCaps w:val="false"/>
          <w:sz w:val="20"/>
        </w:rPr>
        <w:t xml:space="preserve">10% or more of the Group’s total balances of accounts receivable and it accounted for approximately </w:t>
      </w:r>
      <w:bookmarkStart w:id="324" w:name="xdx_90A_eus-gaap--ConcentrationRiskPerce"/>
      <w:bookmarkEnd w:id="324"/>
      <w:r>
        <w:rPr>
          <w:rFonts w:ascii="Times New Roman;Times;Serif" w:hAnsi="Times New Roman;Times;Serif"/>
          <w:b w:val="false"/>
          <w:i w:val="false"/>
          <w:caps w:val="false"/>
          <w:smallCaps w:val="false"/>
          <w:sz w:val="20"/>
        </w:rPr>
        <w:t xml:space="preserve">14% of the total balances of receivables from customers. As of December 31, 2025, no customer accounted for </w:t>
      </w:r>
      <w:bookmarkStart w:id="325" w:name="xdx_904_eus-gaap--ConcentrationRiskPerce"/>
      <w:bookmarkEnd w:id="325"/>
      <w:r>
        <w:rPr>
          <w:rFonts w:ascii="Times New Roman;Times;Serif" w:hAnsi="Times New Roman;Times;Serif"/>
          <w:b w:val="false"/>
          <w:i w:val="false"/>
          <w:caps w:val="false"/>
          <w:smallCaps w:val="false"/>
          <w:sz w:val="20"/>
        </w:rPr>
        <w:t>10% or more of the Group’s total balances of accounts receivable.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Significant Risks (continued)</w:t>
      </w:r>
    </w:p>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60"/>
        <w:gridCol w:w="12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there was one vendor accounted for </w:t>
      </w:r>
      <w:bookmarkStart w:id="326" w:name="xdx_907_eus-gaap--ConcentrationRiskPerce"/>
      <w:bookmarkEnd w:id="326"/>
      <w:r>
        <w:rPr>
          <w:rFonts w:ascii="Times New Roman;Times;Serif" w:hAnsi="Times New Roman;Times;Serif"/>
          <w:b w:val="false"/>
          <w:i w:val="false"/>
          <w:caps w:val="false"/>
          <w:smallCaps w:val="false"/>
          <w:sz w:val="20"/>
        </w:rPr>
        <w:t xml:space="preserve">10% or more of the Group’s cost of revenues. Cost of revenues charged by the vendor for the six months ended June 30, 2026 represented </w:t>
      </w:r>
      <w:bookmarkStart w:id="327" w:name="xdx_900_eus-gaap--ConcentrationRiskPerce"/>
      <w:bookmarkEnd w:id="327"/>
      <w:r>
        <w:rPr>
          <w:rFonts w:ascii="Times New Roman;Times;Serif" w:hAnsi="Times New Roman;Times;Serif"/>
          <w:b w:val="false"/>
          <w:i w:val="false"/>
          <w:caps w:val="false"/>
          <w:smallCaps w:val="false"/>
          <w:sz w:val="20"/>
        </w:rPr>
        <w:t xml:space="preserve">10% of the Group’s cost of revenues for that period. For the six months ended June 30, 2025, there was one vendor accounted for </w:t>
      </w:r>
      <w:bookmarkStart w:id="328" w:name="xdx_90D_eus-gaap--ConcentrationRiskPerce"/>
      <w:bookmarkEnd w:id="328"/>
      <w:r>
        <w:rPr>
          <w:rFonts w:ascii="Times New Roman;Times;Serif" w:hAnsi="Times New Roman;Times;Serif"/>
          <w:b w:val="false"/>
          <w:i w:val="false"/>
          <w:caps w:val="false"/>
          <w:smallCaps w:val="false"/>
          <w:sz w:val="20"/>
        </w:rPr>
        <w:t xml:space="preserve">10% or more of the Group’s cost of revenues. Cost of revenues charged by the vendor for the six months ended June 30, 2025 represented </w:t>
      </w:r>
      <w:bookmarkStart w:id="329" w:name="xdx_90C_eus-gaap--ConcentrationRiskPerce"/>
      <w:bookmarkEnd w:id="329"/>
      <w:r>
        <w:rPr>
          <w:rFonts w:ascii="Times New Roman;Times;Serif" w:hAnsi="Times New Roman;Times;Serif"/>
          <w:b w:val="false"/>
          <w:i w:val="false"/>
          <w:caps w:val="false"/>
          <w:smallCaps w:val="false"/>
          <w:sz w:val="20"/>
        </w:rPr>
        <w:t>18% of the Group’s cost of revenues for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was no vendor whose payables accounted for </w:t>
      </w:r>
      <w:bookmarkStart w:id="330" w:name="xdx_90B_eus-gaap--ConcentrationRiskPerce"/>
      <w:bookmarkEnd w:id="330"/>
      <w:r>
        <w:rPr>
          <w:rFonts w:ascii="Times New Roman;Times;Serif" w:hAnsi="Times New Roman;Times;Serif"/>
          <w:b w:val="false"/>
          <w:i w:val="false"/>
          <w:caps w:val="false"/>
          <w:smallCaps w:val="false"/>
          <w:sz w:val="20"/>
        </w:rPr>
        <w:t xml:space="preserve">10% or more of the Group’s total balances of accounts payable. As of December 31, 2025, there were two vendors whose payables accounted for </w:t>
      </w:r>
      <w:bookmarkStart w:id="331" w:name="xdx_908_eus-gaap--ConcentrationRiskPerce"/>
      <w:bookmarkEnd w:id="331"/>
      <w:r>
        <w:rPr>
          <w:rFonts w:ascii="Times New Roman;Times;Serif" w:hAnsi="Times New Roman;Times;Serif"/>
          <w:b w:val="false"/>
          <w:i w:val="false"/>
          <w:caps w:val="false"/>
          <w:smallCaps w:val="false"/>
          <w:sz w:val="20"/>
        </w:rPr>
        <w:t xml:space="preserve">10% or more of the Group’s total balances of accounts payable and they accounted for approximately </w:t>
      </w:r>
      <w:bookmarkStart w:id="332" w:name="xdx_90F_eus-gaap--ConcentrationRiskPerce"/>
      <w:bookmarkEnd w:id="332"/>
      <w:r>
        <w:rPr>
          <w:rFonts w:ascii="Times New Roman;Times;Serif" w:hAnsi="Times New Roman;Times;Serif"/>
          <w:b w:val="false"/>
          <w:i w:val="false"/>
          <w:caps w:val="false"/>
          <w:smallCaps w:val="false"/>
          <w:sz w:val="20"/>
        </w:rPr>
        <w:t xml:space="preserve">16%, </w:t>
      </w:r>
      <w:bookmarkStart w:id="333" w:name="xdx_901_eus-gaap--ConcentrationRiskPerce"/>
      <w:bookmarkEnd w:id="333"/>
      <w:r>
        <w:rPr>
          <w:rFonts w:ascii="Times New Roman;Times;Serif" w:hAnsi="Times New Roman;Times;Serif"/>
          <w:b w:val="false"/>
          <w:i w:val="false"/>
          <w:caps w:val="false"/>
          <w:smallCaps w:val="false"/>
          <w:sz w:val="20"/>
        </w:rPr>
        <w:t>10% of the total balance of accounts payables,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market interest rates may negatively affect the Group’s financial condition and results of operations. The Group is exposed to floating interest rate risk on bank deposits and bank borrowings, particularly during periods when the interest rate is expected to significant changes. Nevertheless, given the amounts of bank deposits and bank borrowings in question, the Group considers its interest rate risk not material, and the Group has not used any derivatives to manage or hedge its interest rate risk exposure.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4" w:name="xdx_80C_eus-gaap--CashAndCashEquivalents"/>
      <w:bookmarkEnd w:id="334"/>
      <w:r>
        <w:rPr>
          <w:rFonts w:ascii="Times New Roman;Times;Serif" w:hAnsi="Times New Roman;Times;Serif"/>
          <w:b/>
          <w:i w:val="false"/>
          <w:caps w:val="false"/>
          <w:smallCaps w:val="false"/>
          <w:sz w:val="20"/>
        </w:rPr>
        <w:t xml:space="preserve">4. </w:t>
      </w:r>
      <w:bookmarkStart w:id="335" w:name="xdx_82F_z7E5UQY7Eiu4"/>
      <w:bookmarkEnd w:id="335"/>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6" w:name="xdx_895_eus-gaap--ScheduleOfCashAndCashE"/>
      <w:bookmarkEnd w:id="336"/>
      <w:r>
        <w:rPr>
          <w:rFonts w:ascii="Times New Roman;Times;Serif" w:hAnsi="Times New Roman;Times;Serif"/>
          <w:b w:val="false"/>
          <w:i w:val="false"/>
          <w:caps w:val="false"/>
          <w:smallCaps w:val="false"/>
          <w:sz w:val="20"/>
        </w:rPr>
        <w:t>As of June 30, 2026 and December 31, 2025, cash and cash equivalents consisted of the following balances:</w:t>
      </w:r>
    </w:p>
    <w:p>
      <w:pPr>
        <w:pStyle w:val="TextBody"/>
        <w:bidi w:val="0"/>
        <w:spacing w:before="0" w:after="0"/>
        <w:ind w:left="0" w:right="0" w:firstLine="504"/>
        <w:jc w:val="both"/>
        <w:rPr>
          <w:rFonts w:ascii="Times New Roman;Times;Serif" w:hAnsi="Times New Roman;Times;Serif"/>
          <w:b w:val="false"/>
          <w:i w:val="false"/>
          <w:caps w:val="false"/>
          <w:smallCaps w:val="false"/>
          <w:sz w:val="20"/>
        </w:rPr>
      </w:pPr>
      <w:bookmarkStart w:id="337" w:name="xdx_8BE_z1ib2mRLGB85"/>
      <w:bookmarkEnd w:id="337"/>
      <w:r>
        <w:rPr>
          <w:rFonts w:ascii="Times New Roman;Times;Serif" w:hAnsi="Times New Roman;Times;Serif"/>
          <w:b w:val="false"/>
          <w:i w:val="false"/>
          <w:caps w:val="false"/>
          <w:smallCaps w:val="false"/>
          <w:sz w:val="20"/>
        </w:rPr>
        <w:t>Schedule of Cash and Cash Equivalents  </w:t>
      </w:r>
    </w:p>
    <w:tbl>
      <w:tblPr>
        <w:tblW w:w="5443" w:type="dxa"/>
        <w:jc w:val="left"/>
        <w:tblInd w:w="0" w:type="dxa"/>
        <w:tblLayout w:type="fixed"/>
        <w:tblCellMar>
          <w:top w:w="0" w:type="dxa"/>
          <w:left w:w="0" w:type="dxa"/>
          <w:bottom w:w="0" w:type="dxa"/>
          <w:right w:w="0" w:type="dxa"/>
        </w:tblCellMar>
      </w:tblPr>
      <w:tblGrid>
        <w:gridCol w:w="2525"/>
        <w:gridCol w:w="60"/>
        <w:gridCol w:w="141"/>
        <w:gridCol w:w="1108"/>
        <w:gridCol w:w="60"/>
        <w:gridCol w:w="60"/>
        <w:gridCol w:w="159"/>
        <w:gridCol w:w="1255"/>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8" w:name="xdx_490_20260630_zXNqT41bVF38"/>
            <w:bookmarkEnd w:id="338"/>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9" w:name="xdx_491_20251231_zKJIWuSlUGUj"/>
            <w:bookmarkEnd w:id="339"/>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340" w:name="xdx_405_eus-gaap--CashAndCashEquivalents"/>
            <w:bookmarkEnd w:id="340"/>
          </w:p>
        </w:tc>
      </w:tr>
      <w:tr>
        <w:trPr/>
        <w:tc>
          <w:tcPr>
            <w:tcW w:w="2525" w:type="dxa"/>
            <w:tcBorders/>
            <w:shd w:fill="CCEEFF" w:val="clear"/>
            <w:vAlign w:val="center"/>
          </w:tcPr>
          <w:p>
            <w:pPr>
              <w:pStyle w:val="TableContents"/>
              <w:bidi w:val="0"/>
              <w:spacing w:before="0" w:after="283"/>
              <w:jc w:val="left"/>
              <w:rPr/>
            </w:pPr>
            <w:r>
              <w:rPr/>
              <w:t>Cash and bank balances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7,463,255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6,887,691</w:t>
            </w:r>
          </w:p>
        </w:tc>
        <w:tc>
          <w:tcPr>
            <w:tcW w:w="75" w:type="dxa"/>
            <w:tcBorders/>
            <w:shd w:fill="CCEEFF" w:val="clear"/>
            <w:vAlign w:val="center"/>
          </w:tcPr>
          <w:p>
            <w:pPr>
              <w:pStyle w:val="TableContents"/>
              <w:bidi w:val="0"/>
              <w:spacing w:before="0" w:after="283"/>
              <w:jc w:val="left"/>
              <w:rPr/>
            </w:pPr>
            <w:r>
              <w:rPr/>
              <w:t> </w:t>
            </w:r>
            <w:bookmarkStart w:id="341" w:name="xdx_401_eus-gaap--CashAndCashEquivalents"/>
            <w:bookmarkEnd w:id="341"/>
          </w:p>
        </w:tc>
      </w:tr>
      <w:tr>
        <w:trPr/>
        <w:tc>
          <w:tcPr>
            <w:tcW w:w="2525" w:type="dxa"/>
            <w:tcBorders/>
            <w:shd w:fill="FFFFFF" w:val="clear"/>
            <w:vAlign w:val="center"/>
          </w:tcPr>
          <w:p>
            <w:pPr>
              <w:pStyle w:val="TableContents"/>
              <w:bidi w:val="0"/>
              <w:spacing w:before="0" w:after="283"/>
              <w:jc w:val="left"/>
              <w:rPr/>
            </w:pPr>
            <w:r>
              <w:rPr/>
              <w:t>Money market funds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4,722,685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5,654,848</w:t>
            </w:r>
          </w:p>
        </w:tc>
        <w:tc>
          <w:tcPr>
            <w:tcW w:w="75" w:type="dxa"/>
            <w:tcBorders/>
            <w:shd w:fill="FFFFFF" w:val="clear"/>
            <w:vAlign w:val="center"/>
          </w:tcPr>
          <w:p>
            <w:pPr>
              <w:pStyle w:val="TableContents"/>
              <w:bidi w:val="0"/>
              <w:spacing w:before="0" w:after="283"/>
              <w:jc w:val="left"/>
              <w:rPr/>
            </w:pPr>
            <w:r>
              <w:rPr/>
              <w:t> </w:t>
            </w:r>
            <w:bookmarkStart w:id="342" w:name="xdx_406_eus-gaap--CashAndCashEquivalents"/>
            <w:bookmarkEnd w:id="342"/>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pPr>
            <w:r>
              <w:rPr/>
              <w:t>12,185,940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r>
              <w:rPr/>
              <w:t>12,542,539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43" w:name="xdx_8AB_zratb77jLKI9"/>
      <w:bookmarkEnd w:id="34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4" w:name="xdx_80C_eus-gaap--AccountsAndNontradeRec"/>
      <w:bookmarkEnd w:id="344"/>
      <w:r>
        <w:rPr>
          <w:rFonts w:ascii="Times New Roman;Times;Serif" w:hAnsi="Times New Roman;Times;Serif"/>
          <w:b/>
          <w:i w:val="false"/>
          <w:caps w:val="false"/>
          <w:smallCaps w:val="false"/>
          <w:sz w:val="20"/>
        </w:rPr>
        <w:t xml:space="preserve">5. </w:t>
      </w:r>
      <w:bookmarkStart w:id="345" w:name="xdx_820_zWYZsjh27qc4"/>
      <w:bookmarkEnd w:id="345"/>
      <w:r>
        <w:rPr>
          <w:rFonts w:ascii="Times New Roman;Times;Serif" w:hAnsi="Times New Roman;Times;Serif"/>
          <w:b/>
          <w:i w:val="false"/>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6" w:name="xdx_895_eus-gaap--ScheduleOfAccountsNote"/>
      <w:bookmarkEnd w:id="346"/>
      <w:r>
        <w:rPr>
          <w:rFonts w:ascii="Times New Roman;Times;Serif" w:hAnsi="Times New Roman;Times;Serif"/>
          <w:b w:val="false"/>
          <w:i w:val="false"/>
          <w:caps w:val="false"/>
          <w:smallCaps w:val="false"/>
          <w:sz w:val="20"/>
        </w:rPr>
        <w:t>As of June 30, 2026 and December 31, 2025, accounts receivable consisted of the following balances:</w:t>
      </w:r>
    </w:p>
    <w:p>
      <w:pPr>
        <w:pStyle w:val="TextBody"/>
        <w:bidi w:val="0"/>
        <w:spacing w:before="0" w:after="0"/>
        <w:ind w:left="0" w:right="0" w:firstLine="504"/>
        <w:jc w:val="both"/>
        <w:rPr>
          <w:rFonts w:ascii="Times New Roman;Times;Serif" w:hAnsi="Times New Roman;Times;Serif"/>
          <w:b w:val="false"/>
          <w:i w:val="false"/>
          <w:caps w:val="false"/>
          <w:smallCaps w:val="false"/>
          <w:sz w:val="20"/>
        </w:rPr>
      </w:pPr>
      <w:bookmarkStart w:id="347" w:name="xdx_8B1_zoPSpplI6wcd"/>
      <w:bookmarkEnd w:id="347"/>
      <w:r>
        <w:rPr>
          <w:rFonts w:ascii="Times New Roman;Times;Serif" w:hAnsi="Times New Roman;Times;Serif"/>
          <w:b w:val="false"/>
          <w:i w:val="false"/>
          <w:caps w:val="false"/>
          <w:smallCaps w:val="false"/>
          <w:sz w:val="20"/>
        </w:rPr>
        <w:t>Schedule of Accounts Receivable </w:t>
      </w:r>
    </w:p>
    <w:tbl>
      <w:tblPr>
        <w:tblW w:w="7853" w:type="dxa"/>
        <w:jc w:val="left"/>
        <w:tblInd w:w="0" w:type="dxa"/>
        <w:tblLayout w:type="fixed"/>
        <w:tblCellMar>
          <w:top w:w="0" w:type="dxa"/>
          <w:left w:w="0" w:type="dxa"/>
          <w:bottom w:w="0" w:type="dxa"/>
          <w:right w:w="0" w:type="dxa"/>
        </w:tblCellMar>
      </w:tblPr>
      <w:tblGrid>
        <w:gridCol w:w="4865"/>
        <w:gridCol w:w="60"/>
        <w:gridCol w:w="141"/>
        <w:gridCol w:w="1108"/>
        <w:gridCol w:w="95"/>
        <w:gridCol w:w="60"/>
        <w:gridCol w:w="159"/>
        <w:gridCol w:w="1255"/>
        <w:gridCol w:w="110"/>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9_20260630_zJSZ69CcFz1g"/>
            <w:bookmarkEnd w:id="348"/>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9" w:name="xdx_495_20251231_zhI29NbvTWng"/>
            <w:bookmarkEnd w:id="349"/>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110"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Third parties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0" w:name="xdx_409_eus-gaap--AccountsReceivableGros"/>
            <w:bookmarkEnd w:id="350"/>
          </w:p>
        </w:tc>
      </w:tr>
      <w:tr>
        <w:trPr/>
        <w:tc>
          <w:tcPr>
            <w:tcW w:w="4865" w:type="dxa"/>
            <w:tcBorders/>
            <w:shd w:fill="FFFFFF" w:val="clear"/>
            <w:vAlign w:val="center"/>
          </w:tcPr>
          <w:p>
            <w:pPr>
              <w:pStyle w:val="TableContents"/>
              <w:bidi w:val="0"/>
              <w:spacing w:before="0" w:after="283"/>
              <w:jc w:val="left"/>
              <w:rPr/>
            </w:pPr>
            <w:r>
              <w:rPr/>
              <w:t>Accounts receivable related to sales of marine fuels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08" w:type="dxa"/>
            <w:tcBorders/>
            <w:shd w:fill="FFFFFF" w:val="clear"/>
            <w:vAlign w:val="center"/>
          </w:tcPr>
          <w:p>
            <w:pPr>
              <w:pStyle w:val="TableContents"/>
              <w:bidi w:val="0"/>
              <w:spacing w:before="0" w:after="283"/>
              <w:jc w:val="right"/>
              <w:rPr/>
            </w:pPr>
            <w:r>
              <w:rPr/>
              <w:t>31,225,656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26,266,112</w:t>
            </w:r>
          </w:p>
        </w:tc>
        <w:tc>
          <w:tcPr>
            <w:tcW w:w="110" w:type="dxa"/>
            <w:tcBorders/>
            <w:shd w:fill="FFFFFF" w:val="clear"/>
            <w:vAlign w:val="center"/>
          </w:tcPr>
          <w:p>
            <w:pPr>
              <w:pStyle w:val="TableContents"/>
              <w:bidi w:val="0"/>
              <w:spacing w:before="0" w:after="283"/>
              <w:jc w:val="left"/>
              <w:rPr/>
            </w:pPr>
            <w:r>
              <w:rPr/>
              <w:t> </w:t>
            </w:r>
            <w:bookmarkStart w:id="351" w:name="xdx_404_eus-gaap--AllowanceForDoubtfulAc"/>
            <w:bookmarkEnd w:id="351"/>
          </w:p>
        </w:tc>
      </w:tr>
      <w:tr>
        <w:trPr/>
        <w:tc>
          <w:tcPr>
            <w:tcW w:w="4865" w:type="dxa"/>
            <w:tcBorders/>
            <w:shd w:fill="CCEEFF" w:val="clear"/>
            <w:vAlign w:val="center"/>
          </w:tcPr>
          <w:p>
            <w:pPr>
              <w:pStyle w:val="TableContents"/>
              <w:bidi w:val="0"/>
              <w:spacing w:before="0" w:after="283"/>
              <w:jc w:val="left"/>
              <w:rPr/>
            </w:pPr>
            <w:r>
              <w:rPr/>
              <w:t>Less: allowance for credit losses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CCEEFF" w:val="clear"/>
            <w:tcMar>
              <w:bottom w:w="28" w:type="dxa"/>
            </w:tcMar>
            <w:vAlign w:val="center"/>
          </w:tcPr>
          <w:p>
            <w:pPr>
              <w:pStyle w:val="TableContents"/>
              <w:bidi w:val="0"/>
              <w:spacing w:before="0" w:after="283"/>
              <w:jc w:val="right"/>
              <w:rPr/>
            </w:pPr>
            <w:r>
              <w:rPr/>
              <w:t>(10,423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(10,423</w:t>
            </w:r>
          </w:p>
        </w:tc>
        <w:tc>
          <w:tcPr>
            <w:tcW w:w="110" w:type="dxa"/>
            <w:tcBorders/>
            <w:shd w:fill="CCEEFF" w:val="clear"/>
            <w:vAlign w:val="center"/>
          </w:tcPr>
          <w:p>
            <w:pPr>
              <w:pStyle w:val="TableContents"/>
              <w:bidi w:val="0"/>
              <w:spacing w:before="0" w:after="283"/>
              <w:jc w:val="left"/>
              <w:rPr/>
            </w:pPr>
            <w:r>
              <w:rPr/>
              <w:t>)</w:t>
            </w:r>
            <w:bookmarkStart w:id="352" w:name="xdx_40F_eus-gaap--AccountsReceivableNetC"/>
            <w:bookmarkEnd w:id="352"/>
          </w:p>
        </w:tc>
      </w:tr>
      <w:tr>
        <w:trPr/>
        <w:tc>
          <w:tcPr>
            <w:tcW w:w="4865" w:type="dxa"/>
            <w:tcBorders/>
            <w:shd w:fill="FFFFFF" w:val="clear"/>
            <w:vAlign w:val="center"/>
          </w:tcPr>
          <w:p>
            <w:pPr>
              <w:pStyle w:val="TableContents"/>
              <w:bidi w:val="0"/>
              <w:spacing w:before="0" w:after="283"/>
              <w:jc w:val="left"/>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pPr>
            <w:r>
              <w:rPr/>
              <w:t>31,215,233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26,255,689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53" w:name="xdx_8A6_zhVkFURicUi1"/>
      <w:bookmarkEnd w:id="35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Accounts Receivable, Net (continued)</w:t>
      </w:r>
    </w:p>
    <w:p>
      <w:pPr>
        <w:pStyle w:val="TextBody"/>
        <w:bidi w:val="0"/>
        <w:spacing w:before="0" w:after="0"/>
        <w:ind w:left="0" w:right="0" w:firstLine="50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4" w:name="xdx_899_eus-gaap--AccountsReceivableAllo"/>
      <w:bookmarkEnd w:id="354"/>
      <w:r>
        <w:rPr>
          <w:rFonts w:ascii="Times New Roman;Times;Serif" w:hAnsi="Times New Roman;Times;Serif"/>
          <w:b w:val="false"/>
          <w:i w:val="false"/>
          <w:caps w:val="false"/>
          <w:smallCaps w:val="false"/>
          <w:sz w:val="20"/>
        </w:rPr>
        <w:t>The movement of allowance for credit losses is as follow: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5" w:name="xdx_8B2_zVlwM3CvAVGb"/>
      <w:bookmarkEnd w:id="355"/>
      <w:r>
        <w:rPr>
          <w:rFonts w:ascii="Times New Roman;Times;Serif" w:hAnsi="Times New Roman;Times;Serif"/>
          <w:b w:val="false"/>
          <w:i w:val="false"/>
          <w:caps w:val="false"/>
          <w:smallCaps w:val="false"/>
          <w:sz w:val="20"/>
        </w:rPr>
        <w:t>Schedule of Allowance for Expected Credit Losses </w:t>
      </w:r>
    </w:p>
    <w:tbl>
      <w:tblPr>
        <w:tblW w:w="7333" w:type="dxa"/>
        <w:jc w:val="left"/>
        <w:tblInd w:w="0" w:type="dxa"/>
        <w:tblLayout w:type="fixed"/>
        <w:tblCellMar>
          <w:top w:w="0" w:type="dxa"/>
          <w:left w:w="0" w:type="dxa"/>
          <w:bottom w:w="0" w:type="dxa"/>
          <w:right w:w="0" w:type="dxa"/>
        </w:tblCellMar>
      </w:tblPr>
      <w:tblGrid>
        <w:gridCol w:w="4550"/>
        <w:gridCol w:w="60"/>
        <w:gridCol w:w="212"/>
        <w:gridCol w:w="1037"/>
        <w:gridCol w:w="75"/>
        <w:gridCol w:w="75"/>
        <w:gridCol w:w="212"/>
        <w:gridCol w:w="1037"/>
        <w:gridCol w:w="7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6" w:name="xdx_495_20260101__20260630_zyk4FgJvTgZ9"/>
            <w:bookmarkEnd w:id="356"/>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57" w:name="xdx_49C_20250101__20250630_zYbz52YAVqm7"/>
            <w:bookmarkEnd w:id="357"/>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358" w:name="xdx_407_eus-gaap--AllowanceForDoubtfulAc"/>
            <w:bookmarkEnd w:id="358"/>
          </w:p>
        </w:tc>
      </w:tr>
      <w:tr>
        <w:trPr/>
        <w:tc>
          <w:tcPr>
            <w:tcW w:w="4550" w:type="dxa"/>
            <w:tcBorders/>
            <w:shd w:fill="CCEEFF" w:val="clear"/>
            <w:vAlign w:val="center"/>
          </w:tcPr>
          <w:p>
            <w:pPr>
              <w:pStyle w:val="TableContents"/>
              <w:bidi w:val="0"/>
              <w:spacing w:before="0" w:after="283"/>
              <w:jc w:val="left"/>
              <w:rPr/>
            </w:pPr>
            <w:r>
              <w:rPr/>
              <w:t>Beginning balance at January 1, 2026 and 2025</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10,423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10,423</w:t>
            </w:r>
          </w:p>
        </w:tc>
        <w:tc>
          <w:tcPr>
            <w:tcW w:w="75" w:type="dxa"/>
            <w:tcBorders/>
            <w:shd w:fill="CCEEFF" w:val="clear"/>
            <w:vAlign w:val="center"/>
          </w:tcPr>
          <w:p>
            <w:pPr>
              <w:pStyle w:val="TableContents"/>
              <w:bidi w:val="0"/>
              <w:spacing w:before="0" w:after="283"/>
              <w:jc w:val="left"/>
              <w:rPr/>
            </w:pPr>
            <w:r>
              <w:rPr/>
              <w:t> </w:t>
            </w:r>
            <w:bookmarkStart w:id="359" w:name="xdx_406_eus-gaap--AllowanceForDoubtfulAc"/>
            <w:bookmarkEnd w:id="359"/>
          </w:p>
        </w:tc>
      </w:tr>
      <w:tr>
        <w:trPr/>
        <w:tc>
          <w:tcPr>
            <w:tcW w:w="4550" w:type="dxa"/>
            <w:tcBorders/>
            <w:shd w:fill="FFFFFF" w:val="clear"/>
            <w:vAlign w:val="center"/>
          </w:tcPr>
          <w:p>
            <w:pPr>
              <w:pStyle w:val="TableContents"/>
              <w:bidi w:val="0"/>
              <w:spacing w:before="0" w:after="283"/>
              <w:jc w:val="left"/>
              <w:rPr/>
            </w:pPr>
            <w:r>
              <w:rPr/>
              <w:t>Recovery of credit losses</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0" w:name="xdx_408_eus-gaap--AllowanceForDoubtfulAc"/>
            <w:bookmarkEnd w:id="360"/>
          </w:p>
        </w:tc>
      </w:tr>
      <w:tr>
        <w:trPr/>
        <w:tc>
          <w:tcPr>
            <w:tcW w:w="4550" w:type="dxa"/>
            <w:tcBorders/>
            <w:shd w:fill="CCEEFF" w:val="clear"/>
            <w:vAlign w:val="center"/>
          </w:tcPr>
          <w:p>
            <w:pPr>
              <w:pStyle w:val="TableContents"/>
              <w:bidi w:val="0"/>
              <w:spacing w:before="0" w:after="283"/>
              <w:jc w:val="left"/>
              <w:rPr/>
            </w:pPr>
            <w:r>
              <w:rPr/>
              <w:t>Ending balance at June 30, 2026 and 2025</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10,423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10,423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61" w:name="xdx_8A3_ztBMktdQLD0f"/>
      <w:bookmarkEnd w:id="36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2" w:name="xdx_800_ecustom--RightOfUseOfAssetsAndOp"/>
      <w:bookmarkEnd w:id="362"/>
      <w:r>
        <w:rPr>
          <w:rFonts w:ascii="Times New Roman;Times;Serif" w:hAnsi="Times New Roman;Times;Serif"/>
          <w:b/>
          <w:i w:val="false"/>
          <w:caps w:val="false"/>
          <w:smallCaps w:val="false"/>
          <w:sz w:val="20"/>
        </w:rPr>
        <w:t xml:space="preserve">6. </w:t>
      </w:r>
      <w:bookmarkStart w:id="363" w:name="xdx_821_zi37PKJ4D33f"/>
      <w:bookmarkEnd w:id="363"/>
      <w:r>
        <w:rPr>
          <w:rFonts w:ascii="Times New Roman;Times;Serif" w:hAnsi="Times New Roman;Times;Serif"/>
          <w:b/>
          <w:i w:val="false"/>
          <w:caps w:val="false"/>
          <w:smallCaps w:val="false"/>
          <w:sz w:val="20"/>
        </w:rPr>
        <w:t>ROU Assets and Operating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4" w:name="xdx_896_eus-gaap--LeaseCostTableTextBloc"/>
      <w:bookmarkEnd w:id="364"/>
      <w:r>
        <w:rPr>
          <w:rFonts w:ascii="Times New Roman;Times;Serif" w:hAnsi="Times New Roman;Times;Serif"/>
          <w:b w:val="false"/>
          <w:i w:val="false"/>
          <w:caps w:val="false"/>
          <w:smallCaps w:val="false"/>
          <w:sz w:val="20"/>
        </w:rPr>
        <w:t>As of June 30, 2026 and December 31, 2025, the Group subsisted of the following non-cancellable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365" w:name="xdx_8B0_zBhWVqpg0BHf"/>
      <w:bookmarkEnd w:id="365"/>
      <w:r>
        <w:rPr>
          <w:rFonts w:ascii="Times New Roman;Times;Serif" w:hAnsi="Times New Roman;Times;Serif"/>
          <w:b w:val="false"/>
          <w:i w:val="false"/>
          <w:caps w:val="false"/>
          <w:smallCaps w:val="false"/>
          <w:sz w:val="20"/>
        </w:rPr>
        <w:t>Schedule of Non-Cancellable Lease Contract</w:t>
      </w:r>
    </w:p>
    <w:tbl>
      <w:tblPr>
        <w:tblW w:w="10205" w:type="dxa"/>
        <w:jc w:val="left"/>
        <w:tblInd w:w="0" w:type="dxa"/>
        <w:tblLayout w:type="fixed"/>
        <w:tblCellMar>
          <w:top w:w="0" w:type="dxa"/>
          <w:left w:w="0" w:type="dxa"/>
          <w:bottom w:w="28" w:type="dxa"/>
          <w:right w:w="0" w:type="dxa"/>
        </w:tblCellMar>
      </w:tblPr>
      <w:tblGrid>
        <w:gridCol w:w="2686"/>
        <w:gridCol w:w="60"/>
        <w:gridCol w:w="7459"/>
      </w:tblGrid>
      <w:tr>
        <w:trPr/>
        <w:tc>
          <w:tcPr>
            <w:tcW w:w="268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lease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5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term</w:t>
            </w:r>
          </w:p>
        </w:tc>
      </w:tr>
      <w:tr>
        <w:trPr/>
        <w:tc>
          <w:tcPr>
            <w:tcW w:w="268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at Suntec Tower, Singapore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66" w:name="xdx_90D_eus-gaap--LesseeOperatingLeaseDe"/>
            <w:bookmarkEnd w:id="366"/>
            <w:r>
              <w:rPr>
                <w:rFonts w:ascii="Times New Roman;Times;Serif" w:hAnsi="Times New Roman;Times;Serif"/>
                <w:b w:val="false"/>
                <w:i w:val="false"/>
                <w:caps w:val="false"/>
                <w:smallCaps w:val="false"/>
                <w:sz w:val="20"/>
              </w:rPr>
              <w:t>3 years and 1 month from June 1, 2026 to June 30, 2029 (including a one-month rent-free period)</w:t>
            </w:r>
          </w:p>
        </w:tc>
      </w:tr>
      <w:tr>
        <w:trPr/>
        <w:tc>
          <w:tcPr>
            <w:tcW w:w="268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at Shanghai,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5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67" w:name="xdx_904_eus-gaap--LesseeOperatingLeaseDe"/>
            <w:bookmarkEnd w:id="367"/>
            <w:r>
              <w:rPr>
                <w:rFonts w:ascii="Times New Roman;Times;Serif" w:hAnsi="Times New Roman;Times;Serif"/>
                <w:b w:val="false"/>
                <w:i w:val="false"/>
                <w:caps w:val="false"/>
                <w:smallCaps w:val="false"/>
                <w:sz w:val="20"/>
              </w:rPr>
              <w:t>2 years from March 3, 2025 to March 9, 2027</w:t>
            </w:r>
          </w:p>
        </w:tc>
      </w:tr>
    </w:tbl>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185"/>
        <w:gridCol w:w="638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recognized in the unaudited condensed consolidated balance sheets:</w:t>
            </w:r>
          </w:p>
        </w:tc>
      </w:tr>
    </w:tbl>
    <w:p>
      <w:pPr>
        <w:pStyle w:val="TextBody"/>
        <w:bidi w:val="0"/>
        <w:spacing w:before="0" w:after="0"/>
        <w:ind w:left="0" w:right="0" w:hanging="0"/>
        <w:jc w:val="left"/>
        <w:rPr>
          <w:caps w:val="false"/>
          <w:smallCaps w:val="false"/>
        </w:rPr>
      </w:pPr>
      <w:r>
        <w:rPr>
          <w:caps w:val="false"/>
          <w:smallCaps w:val="false"/>
        </w:rPr>
        <w:t> </w:t>
      </w:r>
    </w:p>
    <w:tbl>
      <w:tblPr>
        <w:tblW w:w="7708" w:type="dxa"/>
        <w:jc w:val="left"/>
        <w:tblInd w:w="0" w:type="dxa"/>
        <w:tblLayout w:type="fixed"/>
        <w:tblCellMar>
          <w:top w:w="0" w:type="dxa"/>
          <w:left w:w="0" w:type="dxa"/>
          <w:bottom w:w="0" w:type="dxa"/>
          <w:right w:w="0" w:type="dxa"/>
        </w:tblCellMar>
      </w:tblPr>
      <w:tblGrid>
        <w:gridCol w:w="4790"/>
        <w:gridCol w:w="60"/>
        <w:gridCol w:w="155"/>
        <w:gridCol w:w="1094"/>
        <w:gridCol w:w="60"/>
        <w:gridCol w:w="60"/>
        <w:gridCol w:w="241"/>
        <w:gridCol w:w="1173"/>
        <w:gridCol w:w="75"/>
      </w:tblGrid>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8" w:name="xdx_497_20260630_zmMyzNjC1Eg1"/>
            <w:bookmarkEnd w:id="368"/>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9" w:name="xdx_49A_20251231_z9SVbZZtGafl"/>
            <w:bookmarkEnd w:id="369"/>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bookmarkStart w:id="370" w:name="xdx_403_eus-gaap--OperatingLeaseRightOfU"/>
            <w:bookmarkEnd w:id="370"/>
          </w:p>
        </w:tc>
      </w:tr>
      <w:tr>
        <w:trPr/>
        <w:tc>
          <w:tcPr>
            <w:tcW w:w="4790"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pPr>
            <w:r>
              <w:rPr/>
              <w:t>1,048,599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79,614</w:t>
            </w:r>
          </w:p>
        </w:tc>
        <w:tc>
          <w:tcPr>
            <w:tcW w:w="7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71" w:name="xdx_409_eus-gaap--OperatingLeaseLiabilit"/>
            <w:bookmarkEnd w:id="371"/>
          </w:p>
        </w:tc>
      </w:tr>
      <w:tr>
        <w:trPr/>
        <w:tc>
          <w:tcPr>
            <w:tcW w:w="479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72" w:name="xdx_403_eus-gaap--OperatingLeaseLiabilit"/>
            <w:bookmarkEnd w:id="372"/>
          </w:p>
        </w:tc>
      </w:tr>
      <w:tr>
        <w:trPr/>
        <w:tc>
          <w:tcPr>
            <w:tcW w:w="4790"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359,353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78,281</w:t>
            </w:r>
          </w:p>
        </w:tc>
        <w:tc>
          <w:tcPr>
            <w:tcW w:w="75" w:type="dxa"/>
            <w:tcBorders/>
            <w:shd w:fill="FFFFFF" w:val="clear"/>
            <w:vAlign w:val="center"/>
          </w:tcPr>
          <w:p>
            <w:pPr>
              <w:pStyle w:val="TableContents"/>
              <w:bidi w:val="0"/>
              <w:spacing w:before="0" w:after="283"/>
              <w:jc w:val="left"/>
              <w:rPr/>
            </w:pPr>
            <w:r>
              <w:rPr/>
              <w:t> </w:t>
            </w:r>
            <w:bookmarkStart w:id="373" w:name="xdx_408_eus-gaap--OperatingLeaseLiabilit"/>
            <w:bookmarkEnd w:id="373"/>
          </w:p>
        </w:tc>
      </w:tr>
      <w:tr>
        <w:trPr/>
        <w:tc>
          <w:tcPr>
            <w:tcW w:w="4790" w:type="dxa"/>
            <w:tcBorders/>
            <w:shd w:fill="CCEEFF" w:val="clear"/>
            <w:vAlign w:val="center"/>
          </w:tcPr>
          <w:p>
            <w:pPr>
              <w:pStyle w:val="TableContents"/>
              <w:bidi w:val="0"/>
              <w:spacing w:before="0" w:after="283"/>
              <w:jc w:val="left"/>
              <w:rPr/>
            </w:pPr>
            <w:r>
              <w:rPr/>
              <w:t>Non-current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689,740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6,321</w:t>
            </w:r>
          </w:p>
        </w:tc>
        <w:tc>
          <w:tcPr>
            <w:tcW w:w="75" w:type="dxa"/>
            <w:tcBorders/>
            <w:shd w:fill="CCEEFF" w:val="clear"/>
            <w:vAlign w:val="center"/>
          </w:tcPr>
          <w:p>
            <w:pPr>
              <w:pStyle w:val="TableContents"/>
              <w:bidi w:val="0"/>
              <w:spacing w:before="0" w:after="283"/>
              <w:jc w:val="left"/>
              <w:rPr/>
            </w:pPr>
            <w:r>
              <w:rPr/>
              <w:t> </w:t>
            </w:r>
            <w:bookmarkStart w:id="374" w:name="xdx_406_eus-gaap--OperatingLeaseLiabilit"/>
            <w:bookmarkEnd w:id="374"/>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pPr>
            <w:r>
              <w:rPr/>
              <w:t>1,049,093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84,602</w:t>
            </w:r>
          </w:p>
        </w:tc>
        <w:tc>
          <w:tcPr>
            <w:tcW w:w="7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Weighted average remaining lease terms (in years)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75" w:name="xdx_902_eus-gaap--OperatingLeaseWeighted"/>
            <w:bookmarkEnd w:id="375"/>
            <w:r>
              <w:rPr/>
              <w:t>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76" w:name="xdx_907_eus-gaap--OperatingLeaseWeighted"/>
            <w:bookmarkEnd w:id="376"/>
            <w:r>
              <w:rPr/>
              <w:t>0.81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200"/>
        <w:gridCol w:w="932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related to operating lease activities during the six months ended June 30, 2026 and 2025 is as follows:</w:t>
            </w:r>
          </w:p>
        </w:tc>
      </w:tr>
    </w:tbl>
    <w:p>
      <w:pPr>
        <w:pStyle w:val="TextBody"/>
        <w:bidi w:val="0"/>
        <w:spacing w:before="0" w:after="0"/>
        <w:ind w:left="0" w:right="0" w:hanging="0"/>
        <w:jc w:val="both"/>
        <w:rPr>
          <w:caps w:val="false"/>
          <w:smallCaps w:val="false"/>
        </w:rPr>
      </w:pPr>
      <w:r>
        <w:rPr>
          <w:caps w:val="false"/>
          <w:smallCaps w:val="false"/>
        </w:rPr>
        <w:t> </w:t>
      </w:r>
    </w:p>
    <w:tbl>
      <w:tblPr>
        <w:tblW w:w="8691" w:type="dxa"/>
        <w:jc w:val="left"/>
        <w:tblInd w:w="0" w:type="dxa"/>
        <w:tblLayout w:type="fixed"/>
        <w:tblCellMar>
          <w:top w:w="0" w:type="dxa"/>
          <w:left w:w="0" w:type="dxa"/>
          <w:bottom w:w="0" w:type="dxa"/>
          <w:right w:w="0" w:type="dxa"/>
        </w:tblCellMar>
      </w:tblPr>
      <w:tblGrid>
        <w:gridCol w:w="5930"/>
        <w:gridCol w:w="60"/>
        <w:gridCol w:w="156"/>
        <w:gridCol w:w="1093"/>
        <w:gridCol w:w="64"/>
        <w:gridCol w:w="64"/>
        <w:gridCol w:w="212"/>
        <w:gridCol w:w="1037"/>
        <w:gridCol w:w="75"/>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7" w:name="xdx_499_20260101__20260630_zj5i4SjH3rfe"/>
            <w:bookmarkEnd w:id="377"/>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378" w:name="xdx_49F_20250101__20250630_zoqOuhtuJJWj"/>
            <w:bookmarkEnd w:id="378"/>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379" w:name="xdx_40C_eus-gaap--RightOfUseAssetObtaine"/>
            <w:bookmarkEnd w:id="379"/>
          </w:p>
        </w:tc>
      </w:tr>
      <w:tr>
        <w:trPr/>
        <w:tc>
          <w:tcPr>
            <w:tcW w:w="5930" w:type="dxa"/>
            <w:tcBorders/>
            <w:shd w:fill="CCEEFF" w:val="clear"/>
            <w:vAlign w:val="center"/>
          </w:tcPr>
          <w:p>
            <w:pPr>
              <w:pStyle w:val="TableContents"/>
              <w:bidi w:val="0"/>
              <w:spacing w:before="0" w:after="283"/>
              <w:jc w:val="left"/>
              <w:rPr/>
            </w:pPr>
            <w:r>
              <w:rPr/>
              <w:t>ROU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3" w:type="dxa"/>
            <w:tcBorders>
              <w:bottom w:val="double" w:sz="6" w:space="0" w:color="000000"/>
            </w:tcBorders>
            <w:shd w:fill="CCEEFF" w:val="clear"/>
            <w:tcMar>
              <w:bottom w:w="28" w:type="dxa"/>
            </w:tcMar>
            <w:vAlign w:val="center"/>
          </w:tcPr>
          <w:p>
            <w:pPr>
              <w:pStyle w:val="TableContents"/>
              <w:bidi w:val="0"/>
              <w:spacing w:before="0" w:after="283"/>
              <w:jc w:val="right"/>
              <w:rPr/>
            </w:pPr>
            <w:r>
              <w:rPr/>
              <w:t>1,023,997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80" w:name="xdx_404_eus-gaap--OperatingLeaseRightOfU"/>
            <w:bookmarkEnd w:id="380"/>
          </w:p>
        </w:tc>
      </w:tr>
      <w:tr>
        <w:trPr/>
        <w:tc>
          <w:tcPr>
            <w:tcW w:w="5930" w:type="dxa"/>
            <w:tcBorders/>
            <w:shd w:fill="CCEEFF" w:val="clear"/>
            <w:vAlign w:val="center"/>
          </w:tcPr>
          <w:p>
            <w:pPr>
              <w:pStyle w:val="TableContents"/>
              <w:bidi w:val="0"/>
              <w:spacing w:before="0" w:after="283"/>
              <w:jc w:val="left"/>
              <w:rPr/>
            </w:pPr>
            <w:r>
              <w:rPr/>
              <w:t>Amortization of ROU 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55,012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48,272</w:t>
            </w:r>
          </w:p>
        </w:tc>
        <w:tc>
          <w:tcPr>
            <w:tcW w:w="75" w:type="dxa"/>
            <w:tcBorders/>
            <w:shd w:fill="CCEEFF" w:val="clear"/>
            <w:vAlign w:val="center"/>
          </w:tcPr>
          <w:p>
            <w:pPr>
              <w:pStyle w:val="TableContents"/>
              <w:bidi w:val="0"/>
              <w:spacing w:before="0" w:after="283"/>
              <w:jc w:val="left"/>
              <w:rPr/>
            </w:pPr>
            <w:r>
              <w:rPr/>
              <w:t> </w:t>
            </w:r>
            <w:bookmarkStart w:id="381" w:name="xdx_40D_ecustom--AccretionOfOperatingLea"/>
            <w:bookmarkEnd w:id="381"/>
          </w:p>
        </w:tc>
      </w:tr>
      <w:tr>
        <w:trPr/>
        <w:tc>
          <w:tcPr>
            <w:tcW w:w="5930" w:type="dxa"/>
            <w:tcBorders/>
            <w:shd w:fill="FFFFFF" w:val="clear"/>
            <w:vAlign w:val="center"/>
          </w:tcPr>
          <w:p>
            <w:pPr>
              <w:pStyle w:val="TableContents"/>
              <w:bidi w:val="0"/>
              <w:spacing w:before="0" w:after="283"/>
              <w:jc w:val="left"/>
              <w:rPr/>
            </w:pPr>
            <w:r>
              <w:rPr/>
              <w:t>Accretion of operating lease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pPr>
            <w:r>
              <w:rPr/>
              <w:t>1,009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2,841</w:t>
            </w:r>
          </w:p>
        </w:tc>
        <w:tc>
          <w:tcPr>
            <w:tcW w:w="75" w:type="dxa"/>
            <w:tcBorders/>
            <w:shd w:fill="FFFFFF" w:val="clear"/>
            <w:vAlign w:val="center"/>
          </w:tcPr>
          <w:p>
            <w:pPr>
              <w:pStyle w:val="TableContents"/>
              <w:bidi w:val="0"/>
              <w:spacing w:before="0" w:after="283"/>
              <w:jc w:val="left"/>
              <w:rPr/>
            </w:pPr>
            <w:r>
              <w:rPr/>
              <w:t> </w:t>
            </w:r>
            <w:bookmarkStart w:id="382" w:name="xdx_40B_eus-gaap--OperatingLeaseExpense_"/>
            <w:bookmarkEnd w:id="382"/>
          </w:p>
        </w:tc>
      </w:tr>
      <w:tr>
        <w:trPr/>
        <w:tc>
          <w:tcPr>
            <w:tcW w:w="5930" w:type="dxa"/>
            <w:tcBorders/>
            <w:shd w:fill="CCEEFF" w:val="clear"/>
            <w:vAlign w:val="center"/>
          </w:tcPr>
          <w:p>
            <w:pPr>
              <w:pStyle w:val="TableContents"/>
              <w:bidi w:val="0"/>
              <w:spacing w:before="0" w:after="283"/>
              <w:jc w:val="left"/>
              <w:rPr/>
            </w:pPr>
            <w:r>
              <w:rPr/>
              <w:t>Total operating lease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3" w:type="dxa"/>
            <w:tcBorders>
              <w:bottom w:val="double" w:sz="6" w:space="0" w:color="000000"/>
            </w:tcBorders>
            <w:shd w:fill="CCEEFF" w:val="clear"/>
            <w:tcMar>
              <w:bottom w:w="28" w:type="dxa"/>
            </w:tcMar>
            <w:vAlign w:val="center"/>
          </w:tcPr>
          <w:p>
            <w:pPr>
              <w:pStyle w:val="TableContents"/>
              <w:bidi w:val="0"/>
              <w:spacing w:before="0" w:after="283"/>
              <w:jc w:val="right"/>
              <w:rPr/>
            </w:pPr>
            <w:r>
              <w:rPr/>
              <w:t>56,021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51,113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3" w:name="xdx_8A9_zxSxgBvyeLAe"/>
      <w:bookmarkEnd w:id="38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ROU Assets and Operating Lease Liabilities (continued)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remaining contractual maturities of lease liabilities, categorized by the years in which such lease liabilities are required to be settled, under operating leases as of June 30, 2026:</w:t>
            </w:r>
          </w:p>
        </w:tc>
      </w:tr>
    </w:tbl>
    <w:p>
      <w:pPr>
        <w:pStyle w:val="TextBody"/>
        <w:bidi w:val="0"/>
        <w:spacing w:before="0" w:after="0"/>
        <w:ind w:left="0" w:right="0" w:hanging="0"/>
        <w:jc w:val="left"/>
        <w:rPr>
          <w:caps w:val="false"/>
          <w:smallCaps w:val="false"/>
        </w:rPr>
      </w:pPr>
      <w:bookmarkStart w:id="384" w:name="xdx_891_eus-gaap--LesseeOperatingLeaseLi"/>
      <w:bookmarkEnd w:id="384"/>
      <w:r>
        <w:rPr>
          <w:caps w:val="false"/>
          <w:smallCaps w:val="false"/>
        </w:rPr>
        <w:t> </w:t>
      </w:r>
      <w:bookmarkStart w:id="385" w:name="xdx_8BA_zwznr5T11ljd"/>
      <w:bookmarkEnd w:id="385"/>
      <w:r>
        <w:rPr>
          <w:rFonts w:ascii="Times New Roman;Times;Serif" w:hAnsi="Times New Roman;Times;Serif"/>
          <w:b w:val="false"/>
          <w:i w:val="false"/>
          <w:caps w:val="false"/>
          <w:smallCaps w:val="false"/>
          <w:sz w:val="20"/>
        </w:rPr>
        <w:t>Schedule of Remaining Contractual Maturities</w:t>
      </w:r>
    </w:p>
    <w:tbl>
      <w:tblPr>
        <w:tblW w:w="4425" w:type="dxa"/>
        <w:jc w:val="left"/>
        <w:tblInd w:w="0" w:type="dxa"/>
        <w:tblLayout w:type="fixed"/>
        <w:tblCellMar>
          <w:top w:w="0" w:type="dxa"/>
          <w:left w:w="0" w:type="dxa"/>
          <w:bottom w:w="0" w:type="dxa"/>
          <w:right w:w="0" w:type="dxa"/>
        </w:tblCellMar>
      </w:tblPr>
      <w:tblGrid>
        <w:gridCol w:w="3170"/>
        <w:gridCol w:w="60"/>
        <w:gridCol w:w="140"/>
        <w:gridCol w:w="980"/>
        <w:gridCol w:w="75"/>
      </w:tblGrid>
      <w:tr>
        <w:trPr/>
        <w:tc>
          <w:tcPr>
            <w:tcW w:w="3170" w:type="dxa"/>
            <w:tcBorders/>
            <w:shd w:fill="CCEEFF" w:val="clear"/>
            <w:vAlign w:val="center"/>
          </w:tcPr>
          <w:p>
            <w:pPr>
              <w:pStyle w:val="TableContents"/>
              <w:bidi w:val="0"/>
              <w:spacing w:before="0" w:after="283"/>
              <w:jc w:val="left"/>
              <w:rPr/>
            </w:pPr>
            <w:r>
              <w:rPr/>
              <w:t>Twelve months ended June 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6" w:name="xdx_496_20260630_zt0pfLwKYKjj"/>
            <w:bookmarkEnd w:id="386"/>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87" w:name="xdx_40D_eus-gaap--LesseeOperatingLeaseLi"/>
            <w:bookmarkEnd w:id="387"/>
          </w:p>
        </w:tc>
      </w:tr>
      <w:tr>
        <w:trPr/>
        <w:tc>
          <w:tcPr>
            <w:tcW w:w="317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377,778</w:t>
            </w:r>
          </w:p>
        </w:tc>
        <w:tc>
          <w:tcPr>
            <w:tcW w:w="75" w:type="dxa"/>
            <w:tcBorders/>
            <w:shd w:fill="FFFFFF" w:val="clear"/>
            <w:vAlign w:val="center"/>
          </w:tcPr>
          <w:p>
            <w:pPr>
              <w:pStyle w:val="TableContents"/>
              <w:bidi w:val="0"/>
              <w:spacing w:before="0" w:after="283"/>
              <w:jc w:val="left"/>
              <w:rPr/>
            </w:pPr>
            <w:r>
              <w:rPr/>
              <w:t> </w:t>
            </w:r>
            <w:bookmarkStart w:id="388" w:name="xdx_408_eus-gaap--LesseeOperatingLeaseLi"/>
            <w:bookmarkEnd w:id="388"/>
          </w:p>
        </w:tc>
      </w:tr>
      <w:tr>
        <w:trPr/>
        <w:tc>
          <w:tcPr>
            <w:tcW w:w="317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352,399</w:t>
            </w:r>
          </w:p>
        </w:tc>
        <w:tc>
          <w:tcPr>
            <w:tcW w:w="75" w:type="dxa"/>
            <w:tcBorders/>
            <w:shd w:fill="CCEEFF" w:val="clear"/>
            <w:vAlign w:val="center"/>
          </w:tcPr>
          <w:p>
            <w:pPr>
              <w:pStyle w:val="TableContents"/>
              <w:bidi w:val="0"/>
              <w:spacing w:before="0" w:after="283"/>
              <w:jc w:val="left"/>
              <w:rPr/>
            </w:pPr>
            <w:r>
              <w:rPr/>
              <w:t> </w:t>
            </w:r>
            <w:bookmarkStart w:id="389" w:name="xdx_402_eus-gaap--LesseeOperatingLeaseLi"/>
            <w:bookmarkEnd w:id="389"/>
          </w:p>
        </w:tc>
      </w:tr>
      <w:tr>
        <w:trPr/>
        <w:tc>
          <w:tcPr>
            <w:tcW w:w="317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352,399</w:t>
            </w:r>
          </w:p>
        </w:tc>
        <w:tc>
          <w:tcPr>
            <w:tcW w:w="75" w:type="dxa"/>
            <w:tcBorders/>
            <w:shd w:fill="FFFFFF" w:val="clear"/>
            <w:vAlign w:val="center"/>
          </w:tcPr>
          <w:p>
            <w:pPr>
              <w:pStyle w:val="TableContents"/>
              <w:bidi w:val="0"/>
              <w:spacing w:before="0" w:after="283"/>
              <w:jc w:val="left"/>
              <w:rPr/>
            </w:pPr>
            <w:r>
              <w:rPr/>
              <w:t> </w:t>
            </w:r>
            <w:bookmarkStart w:id="390" w:name="xdx_40F_eus-gaap--LesseeOperatingLeaseLi"/>
            <w:bookmarkEnd w:id="390"/>
          </w:p>
        </w:tc>
      </w:tr>
      <w:tr>
        <w:trPr/>
        <w:tc>
          <w:tcPr>
            <w:tcW w:w="3170" w:type="dxa"/>
            <w:tcBorders/>
            <w:shd w:fill="CCEEFF" w:val="clear"/>
            <w:vAlign w:val="center"/>
          </w:tcPr>
          <w:p>
            <w:pPr>
              <w:pStyle w:val="TableContents"/>
              <w:bidi w:val="0"/>
              <w:spacing w:before="0" w:after="283"/>
              <w:jc w:val="left"/>
              <w:rPr/>
            </w:pPr>
            <w:r>
              <w:rPr/>
              <w:t>Total future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1,082,576</w:t>
            </w:r>
          </w:p>
        </w:tc>
        <w:tc>
          <w:tcPr>
            <w:tcW w:w="75" w:type="dxa"/>
            <w:tcBorders/>
            <w:shd w:fill="CCEEFF" w:val="clear"/>
            <w:vAlign w:val="center"/>
          </w:tcPr>
          <w:p>
            <w:pPr>
              <w:pStyle w:val="TableContents"/>
              <w:bidi w:val="0"/>
              <w:spacing w:before="0" w:after="283"/>
              <w:jc w:val="left"/>
              <w:rPr/>
            </w:pPr>
            <w:r>
              <w:rPr/>
              <w:t> </w:t>
            </w:r>
            <w:bookmarkStart w:id="391" w:name="xdx_40B_eus-gaap--LesseeOperatingLeaseLi"/>
            <w:bookmarkEnd w:id="391"/>
          </w:p>
        </w:tc>
      </w:tr>
      <w:tr>
        <w:trPr/>
        <w:tc>
          <w:tcPr>
            <w:tcW w:w="317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33,483</w:t>
            </w:r>
          </w:p>
        </w:tc>
        <w:tc>
          <w:tcPr>
            <w:tcW w:w="75" w:type="dxa"/>
            <w:tcBorders/>
            <w:shd w:fill="FFFFFF" w:val="clear"/>
            <w:vAlign w:val="center"/>
          </w:tcPr>
          <w:p>
            <w:pPr>
              <w:pStyle w:val="TableContents"/>
              <w:bidi w:val="0"/>
              <w:spacing w:before="0" w:after="283"/>
              <w:jc w:val="left"/>
              <w:rPr/>
            </w:pPr>
            <w:r>
              <w:rPr/>
              <w:t> </w:t>
            </w:r>
            <w:bookmarkStart w:id="392" w:name="xdx_401_eus-gaap--OperatingLeaseLiabilit"/>
            <w:bookmarkEnd w:id="392"/>
          </w:p>
        </w:tc>
      </w:tr>
      <w:tr>
        <w:trPr/>
        <w:tc>
          <w:tcPr>
            <w:tcW w:w="3170" w:type="dxa"/>
            <w:tcBorders/>
            <w:shd w:fill="CCEEFF" w:val="clear"/>
            <w:vAlign w:val="center"/>
          </w:tcPr>
          <w:p>
            <w:pPr>
              <w:pStyle w:val="TableContents"/>
              <w:bidi w:val="0"/>
              <w:spacing w:before="0" w:after="283"/>
              <w:jc w:val="left"/>
              <w:rPr/>
            </w:pPr>
            <w:r>
              <w:rPr/>
              <w:t>Present value of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1,049,093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3" w:name="xdx_8A1_zMYT05Ey9Adk"/>
      <w:bookmarkEnd w:id="3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weighted-average discount rate used to determine the operating lease liabilities as of June 30, 2026 and December 31, 2025 was </w:t>
      </w:r>
      <w:bookmarkStart w:id="394" w:name="xdx_902_eus-gaap--OperatingLeaseWeighted"/>
      <w:bookmarkEnd w:id="394"/>
      <w:r>
        <w:rPr>
          <w:rFonts w:ascii="Times New Roman;Times;Serif" w:hAnsi="Times New Roman;Times;Serif"/>
          <w:b w:val="false"/>
          <w:i w:val="false"/>
          <w:caps w:val="false"/>
          <w:smallCaps w:val="false"/>
          <w:sz w:val="20"/>
        </w:rPr>
        <w:t xml:space="preserve">2.1% and </w:t>
      </w:r>
      <w:bookmarkStart w:id="395" w:name="xdx_90C_eus-gaap--OperatingLeaseWeighted"/>
      <w:bookmarkEnd w:id="395"/>
      <w:r>
        <w:rPr>
          <w:rFonts w:ascii="Times New Roman;Times;Serif" w:hAnsi="Times New Roman;Times;Serif"/>
          <w:b w:val="false"/>
          <w:i w:val="false"/>
          <w:caps w:val="false"/>
          <w:smallCaps w:val="false"/>
          <w:sz w:val="20"/>
        </w:rPr>
        <w:t>4.6%,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6" w:name="xdx_80A_eus-gaap--PropertyPlantAndEquipm"/>
      <w:bookmarkEnd w:id="396"/>
      <w:r>
        <w:rPr>
          <w:rFonts w:ascii="Times New Roman;Times;Serif" w:hAnsi="Times New Roman;Times;Serif"/>
          <w:b/>
          <w:i w:val="false"/>
          <w:caps w:val="false"/>
          <w:smallCaps w:val="false"/>
          <w:sz w:val="20"/>
        </w:rPr>
        <w:t xml:space="preserve">7. </w:t>
      </w:r>
      <w:bookmarkStart w:id="397" w:name="xdx_827_zuzAp5UPWg1g"/>
      <w:bookmarkEnd w:id="397"/>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8" w:name="xdx_892_eus-gaap--PropertyPlantAndEquipm"/>
      <w:bookmarkEnd w:id="398"/>
      <w:r>
        <w:rPr>
          <w:rFonts w:ascii="Times New Roman;Times;Serif" w:hAnsi="Times New Roman;Times;Serif"/>
          <w:b w:val="false"/>
          <w:i w:val="false"/>
          <w:caps w:val="false"/>
          <w:smallCaps w:val="false"/>
          <w:sz w:val="20"/>
        </w:rPr>
        <w:t>As of June 30, 2026 and December 31, 2025, 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bookmarkStart w:id="399" w:name="xdx_8B1_zd58bDueJsie"/>
      <w:bookmarkEnd w:id="399"/>
      <w:r>
        <w:rPr>
          <w:rFonts w:ascii="Times New Roman;Times;Serif" w:hAnsi="Times New Roman;Times;Serif"/>
          <w:b w:val="false"/>
          <w:i w:val="false"/>
          <w:caps w:val="false"/>
          <w:smallCaps w:val="false"/>
          <w:sz w:val="20"/>
        </w:rPr>
        <w:t>Schedule of Property and Equipment</w:t>
      </w:r>
    </w:p>
    <w:tbl>
      <w:tblPr>
        <w:tblW w:w="6233" w:type="dxa"/>
        <w:jc w:val="left"/>
        <w:tblInd w:w="0" w:type="dxa"/>
        <w:tblLayout w:type="fixed"/>
        <w:tblCellMar>
          <w:top w:w="0" w:type="dxa"/>
          <w:left w:w="0" w:type="dxa"/>
          <w:bottom w:w="0" w:type="dxa"/>
          <w:right w:w="0" w:type="dxa"/>
        </w:tblCellMar>
      </w:tblPr>
      <w:tblGrid>
        <w:gridCol w:w="3245"/>
        <w:gridCol w:w="60"/>
        <w:gridCol w:w="172"/>
        <w:gridCol w:w="1077"/>
        <w:gridCol w:w="95"/>
        <w:gridCol w:w="60"/>
        <w:gridCol w:w="194"/>
        <w:gridCol w:w="1220"/>
        <w:gridCol w:w="11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0" w:name="xdx_49B_20260630_zcoeMdnGIDH8"/>
            <w:bookmarkEnd w:id="400"/>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1" w:name="xdx_49E_20251231_zVIQCZY6exGi"/>
            <w:bookmarkEnd w:id="401"/>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110" w:type="dxa"/>
            <w:tcBorders/>
            <w:vAlign w:val="center"/>
          </w:tcPr>
          <w:p>
            <w:pPr>
              <w:pStyle w:val="TableContents"/>
              <w:bidi w:val="0"/>
              <w:spacing w:before="0" w:after="283"/>
              <w:jc w:val="left"/>
              <w:rPr/>
            </w:pPr>
            <w:r>
              <w:rPr/>
              <w:t> </w:t>
            </w:r>
            <w:bookmarkStart w:id="402" w:name="xdx_401_eus-gaap--LeaseholdImprovementsG"/>
            <w:bookmarkEnd w:id="402"/>
          </w:p>
        </w:tc>
      </w:tr>
      <w:tr>
        <w:trPr/>
        <w:tc>
          <w:tcPr>
            <w:tcW w:w="324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209,777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87,687</w:t>
            </w:r>
          </w:p>
        </w:tc>
        <w:tc>
          <w:tcPr>
            <w:tcW w:w="110" w:type="dxa"/>
            <w:tcBorders/>
            <w:shd w:fill="CCEEFF" w:val="clear"/>
            <w:vAlign w:val="center"/>
          </w:tcPr>
          <w:p>
            <w:pPr>
              <w:pStyle w:val="TableContents"/>
              <w:bidi w:val="0"/>
              <w:spacing w:before="0" w:after="283"/>
              <w:jc w:val="left"/>
              <w:rPr/>
            </w:pPr>
            <w:r>
              <w:rPr/>
              <w:t> </w:t>
            </w:r>
            <w:bookmarkStart w:id="403" w:name="xdx_407_eus-gaap--FurnitureAndFixturesGr"/>
            <w:bookmarkEnd w:id="403"/>
          </w:p>
        </w:tc>
      </w:tr>
      <w:tr>
        <w:trPr/>
        <w:tc>
          <w:tcPr>
            <w:tcW w:w="3245" w:type="dxa"/>
            <w:tcBorders/>
            <w:shd w:fill="FFFFFF" w:val="clear"/>
            <w:vAlign w:val="center"/>
          </w:tcPr>
          <w:p>
            <w:pPr>
              <w:pStyle w:val="TableContents"/>
              <w:bidi w:val="0"/>
              <w:spacing w:before="0" w:after="283"/>
              <w:jc w:val="left"/>
              <w:rPr/>
            </w:pPr>
            <w:r>
              <w:rPr/>
              <w:t>Furniture and office equipment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33,028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34,933</w:t>
            </w:r>
          </w:p>
        </w:tc>
        <w:tc>
          <w:tcPr>
            <w:tcW w:w="110" w:type="dxa"/>
            <w:tcBorders/>
            <w:shd w:fill="FFFFFF" w:val="clear"/>
            <w:vAlign w:val="center"/>
          </w:tcPr>
          <w:p>
            <w:pPr>
              <w:pStyle w:val="TableContents"/>
              <w:bidi w:val="0"/>
              <w:spacing w:before="0" w:after="283"/>
              <w:jc w:val="left"/>
              <w:rPr/>
            </w:pPr>
            <w:r>
              <w:rPr/>
              <w:t> </w:t>
            </w:r>
            <w:bookmarkStart w:id="404" w:name="xdx_405_eus-gaap--CapitalizedComputerSof"/>
            <w:bookmarkEnd w:id="404"/>
          </w:p>
        </w:tc>
      </w:tr>
      <w:tr>
        <w:trPr/>
        <w:tc>
          <w:tcPr>
            <w:tcW w:w="324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67,213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65,280</w:t>
            </w:r>
          </w:p>
        </w:tc>
        <w:tc>
          <w:tcPr>
            <w:tcW w:w="110" w:type="dxa"/>
            <w:tcBorders/>
            <w:shd w:fill="CCEEFF" w:val="clear"/>
            <w:vAlign w:val="center"/>
          </w:tcPr>
          <w:p>
            <w:pPr>
              <w:pStyle w:val="TableContents"/>
              <w:bidi w:val="0"/>
              <w:spacing w:before="0" w:after="283"/>
              <w:jc w:val="left"/>
              <w:rPr/>
            </w:pPr>
            <w:r>
              <w:rPr/>
              <w:t> </w:t>
            </w:r>
            <w:bookmarkStart w:id="405" w:name="xdx_405_ecustom--MotorVehicleGross_iI_ma"/>
            <w:bookmarkEnd w:id="405"/>
          </w:p>
        </w:tc>
      </w:tr>
      <w:tr>
        <w:trPr/>
        <w:tc>
          <w:tcPr>
            <w:tcW w:w="3245" w:type="dxa"/>
            <w:tcBorders/>
            <w:shd w:fill="FFFFFF" w:val="clear"/>
            <w:vAlign w:val="center"/>
          </w:tcPr>
          <w:p>
            <w:pPr>
              <w:pStyle w:val="TableContents"/>
              <w:bidi w:val="0"/>
              <w:spacing w:before="0" w:after="283"/>
              <w:jc w:val="left"/>
              <w:rPr/>
            </w:pPr>
            <w:r>
              <w:rPr/>
              <w:t>Motor vehicle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284,610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284,610</w:t>
            </w:r>
          </w:p>
        </w:tc>
        <w:tc>
          <w:tcPr>
            <w:tcW w:w="110" w:type="dxa"/>
            <w:tcBorders/>
            <w:shd w:fill="FFFFFF" w:val="clear"/>
            <w:vAlign w:val="center"/>
          </w:tcPr>
          <w:p>
            <w:pPr>
              <w:pStyle w:val="TableContents"/>
              <w:bidi w:val="0"/>
              <w:spacing w:before="0" w:after="283"/>
              <w:jc w:val="left"/>
              <w:rPr/>
            </w:pPr>
            <w:r>
              <w:rPr/>
              <w:t> </w:t>
            </w:r>
            <w:bookmarkStart w:id="406" w:name="xdx_409_eus-gaap--AccumulatedDepreciatio"/>
            <w:bookmarkEnd w:id="406"/>
          </w:p>
        </w:tc>
      </w:tr>
      <w:tr>
        <w:trPr/>
        <w:tc>
          <w:tcPr>
            <w:tcW w:w="324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(220,431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(187,549</w:t>
            </w:r>
          </w:p>
        </w:tc>
        <w:tc>
          <w:tcPr>
            <w:tcW w:w="110" w:type="dxa"/>
            <w:tcBorders/>
            <w:shd w:fill="CCEEFF" w:val="clear"/>
            <w:vAlign w:val="center"/>
          </w:tcPr>
          <w:p>
            <w:pPr>
              <w:pStyle w:val="TableContents"/>
              <w:bidi w:val="0"/>
              <w:spacing w:before="0" w:after="283"/>
              <w:jc w:val="left"/>
              <w:rPr/>
            </w:pPr>
            <w:r>
              <w:rPr/>
              <w:t>)</w:t>
            </w:r>
            <w:bookmarkStart w:id="407" w:name="xdx_402_eus-gaap--PropertyPlantAndEquipm"/>
            <w:bookmarkEnd w:id="407"/>
          </w:p>
        </w:tc>
      </w:tr>
      <w:tr>
        <w:trPr/>
        <w:tc>
          <w:tcPr>
            <w:tcW w:w="3245" w:type="dxa"/>
            <w:tcBorders/>
            <w:shd w:fill="FFFFFF" w:val="clear"/>
            <w:vAlign w:val="center"/>
          </w:tcPr>
          <w:p>
            <w:pPr>
              <w:pStyle w:val="TableContents"/>
              <w:bidi w:val="0"/>
              <w:spacing w:before="0" w:after="283"/>
              <w:jc w:val="left"/>
              <w:rPr/>
            </w:pPr>
            <w:r>
              <w:rPr/>
              <w:t>Total property and equipment, net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pPr>
            <w:r>
              <w:rPr/>
              <w:t>374,197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284,961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8" w:name="xdx_8A8_zOfytTdz37N"/>
      <w:bookmarkEnd w:id="40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were $</w:t>
      </w:r>
      <w:bookmarkStart w:id="409" w:name="xdx_90E_eus-gaap--Depreciation_c20260101"/>
      <w:bookmarkEnd w:id="409"/>
      <w:r>
        <w:rPr>
          <w:rFonts w:ascii="Times New Roman;Times;Serif" w:hAnsi="Times New Roman;Times;Serif"/>
          <w:b w:val="false"/>
          <w:i w:val="false"/>
          <w:caps w:val="false"/>
          <w:smallCaps w:val="false"/>
          <w:sz w:val="20"/>
        </w:rPr>
        <w:t>36,979 and $</w:t>
      </w:r>
      <w:bookmarkStart w:id="410" w:name="xdx_90E_eus-gaap--Depreciation_c20250101"/>
      <w:bookmarkEnd w:id="410"/>
      <w:r>
        <w:rPr>
          <w:rFonts w:ascii="Times New Roman;Times;Serif" w:hAnsi="Times New Roman;Times;Serif"/>
          <w:b w:val="false"/>
          <w:i w:val="false"/>
          <w:caps w:val="false"/>
          <w:smallCaps w:val="false"/>
          <w:sz w:val="20"/>
        </w:rPr>
        <w:t>38,781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1" w:name="xdx_805_eus-gaap--OtherCurrentAssetsText"/>
      <w:bookmarkEnd w:id="411"/>
      <w:r>
        <w:rPr>
          <w:rFonts w:ascii="Times New Roman;Times;Serif" w:hAnsi="Times New Roman;Times;Serif"/>
          <w:b/>
          <w:i w:val="false"/>
          <w:caps w:val="false"/>
          <w:smallCaps w:val="false"/>
          <w:sz w:val="20"/>
        </w:rPr>
        <w:t xml:space="preserve">8. </w:t>
      </w:r>
      <w:bookmarkStart w:id="412" w:name="xdx_823_zw7EDweG3rX9"/>
      <w:bookmarkEnd w:id="412"/>
      <w:r>
        <w:rPr>
          <w:rFonts w:ascii="Times New Roman;Times;Serif" w:hAnsi="Times New Roman;Times;Serif"/>
          <w:b/>
          <w:i w:val="false"/>
          <w:caps w:val="false"/>
          <w:smallCaps w:val="false"/>
          <w:sz w:val="20"/>
        </w:rPr>
        <w:t>Prepayments and Other Assets, Net</w:t>
      </w:r>
    </w:p>
    <w:p>
      <w:pPr>
        <w:pStyle w:val="TextBody"/>
        <w:bidi w:val="0"/>
        <w:spacing w:before="0" w:after="0"/>
        <w:ind w:left="0" w:right="0" w:hanging="0"/>
        <w:jc w:val="both"/>
        <w:rPr>
          <w:caps w:val="false"/>
          <w:smallCaps w:val="false"/>
        </w:rPr>
      </w:pPr>
      <w:bookmarkStart w:id="413" w:name="xdx_896_eus-gaap--DeferredCostsCapitaliz"/>
      <w:bookmarkEnd w:id="413"/>
      <w:r>
        <w:rPr>
          <w:caps w:val="false"/>
          <w:smallCaps w:val="false"/>
        </w:rPr>
        <w:t> </w:t>
      </w:r>
      <w:bookmarkStart w:id="414" w:name="xdx_8B7_z9fIQqfOqZue"/>
      <w:bookmarkEnd w:id="414"/>
      <w:r>
        <w:rPr>
          <w:rFonts w:ascii="Times New Roman;Times;Serif" w:hAnsi="Times New Roman;Times;Serif"/>
          <w:b w:val="false"/>
          <w:i w:val="false"/>
          <w:caps w:val="false"/>
          <w:smallCaps w:val="false"/>
          <w:sz w:val="20"/>
        </w:rPr>
        <w:t>Schedule of Prepayments and Other Assets, Net</w:t>
      </w:r>
    </w:p>
    <w:tbl>
      <w:tblPr>
        <w:tblW w:w="7313" w:type="dxa"/>
        <w:jc w:val="left"/>
        <w:tblInd w:w="0" w:type="dxa"/>
        <w:tblLayout w:type="fixed"/>
        <w:tblCellMar>
          <w:top w:w="0" w:type="dxa"/>
          <w:left w:w="0" w:type="dxa"/>
          <w:bottom w:w="0" w:type="dxa"/>
          <w:right w:w="0" w:type="dxa"/>
        </w:tblCellMar>
      </w:tblPr>
      <w:tblGrid>
        <w:gridCol w:w="4325"/>
        <w:gridCol w:w="60"/>
        <w:gridCol w:w="186"/>
        <w:gridCol w:w="1063"/>
        <w:gridCol w:w="95"/>
        <w:gridCol w:w="60"/>
        <w:gridCol w:w="210"/>
        <w:gridCol w:w="1204"/>
        <w:gridCol w:w="11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5" w:name="xdx_49D_20260630_zA43fpkGbsha"/>
            <w:bookmarkEnd w:id="415"/>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6" w:name="xdx_49C_20251231_zaVslQXGUTEj"/>
            <w:bookmarkEnd w:id="416"/>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110" w:type="dxa"/>
            <w:tcBorders/>
            <w:vAlign w:val="center"/>
          </w:tcPr>
          <w:p>
            <w:pPr>
              <w:pStyle w:val="TableContents"/>
              <w:bidi w:val="0"/>
              <w:spacing w:before="0" w:after="283"/>
              <w:jc w:val="left"/>
              <w:rPr/>
            </w:pPr>
            <w:r>
              <w:rPr/>
              <w:t> </w:t>
            </w:r>
            <w:bookmarkStart w:id="417" w:name="xdx_40C_eus-gaap--OtherAssets_iI_maPEAOA"/>
            <w:bookmarkEnd w:id="417"/>
          </w:p>
        </w:tc>
      </w:tr>
      <w:tr>
        <w:trPr/>
        <w:tc>
          <w:tcPr>
            <w:tcW w:w="432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194,000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116,933</w:t>
            </w:r>
          </w:p>
        </w:tc>
        <w:tc>
          <w:tcPr>
            <w:tcW w:w="110" w:type="dxa"/>
            <w:tcBorders/>
            <w:shd w:fill="CCEEFF" w:val="clear"/>
            <w:vAlign w:val="center"/>
          </w:tcPr>
          <w:p>
            <w:pPr>
              <w:pStyle w:val="TableContents"/>
              <w:bidi w:val="0"/>
              <w:spacing w:before="0" w:after="283"/>
              <w:jc w:val="left"/>
              <w:rPr/>
            </w:pPr>
            <w:r>
              <w:rPr/>
              <w:t> </w:t>
            </w:r>
            <w:bookmarkStart w:id="418" w:name="xdx_408_eus-gaap--OtherPrepaidExpenseCur"/>
            <w:bookmarkEnd w:id="418"/>
          </w:p>
        </w:tc>
      </w:tr>
      <w:tr>
        <w:trPr/>
        <w:tc>
          <w:tcPr>
            <w:tcW w:w="4325"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229,358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t>74,298</w:t>
            </w:r>
          </w:p>
        </w:tc>
        <w:tc>
          <w:tcPr>
            <w:tcW w:w="110" w:type="dxa"/>
            <w:tcBorders/>
            <w:shd w:fill="FFFFFF" w:val="clear"/>
            <w:vAlign w:val="center"/>
          </w:tcPr>
          <w:p>
            <w:pPr>
              <w:pStyle w:val="TableContents"/>
              <w:bidi w:val="0"/>
              <w:spacing w:before="0" w:after="283"/>
              <w:jc w:val="left"/>
              <w:rPr/>
            </w:pPr>
            <w:r>
              <w:rPr/>
              <w:t> </w:t>
            </w:r>
            <w:bookmarkStart w:id="419" w:name="xdx_409_eus-gaap--PrepaidTaxes_iI_maPEAO"/>
            <w:bookmarkEnd w:id="419"/>
          </w:p>
        </w:tc>
      </w:tr>
      <w:tr>
        <w:trPr/>
        <w:tc>
          <w:tcPr>
            <w:tcW w:w="4325" w:type="dxa"/>
            <w:tcBorders/>
            <w:shd w:fill="CCEEFF" w:val="clear"/>
            <w:vAlign w:val="center"/>
          </w:tcPr>
          <w:p>
            <w:pPr>
              <w:pStyle w:val="TableContents"/>
              <w:bidi w:val="0"/>
              <w:spacing w:before="0" w:after="283"/>
              <w:jc w:val="left"/>
              <w:rPr/>
            </w:pPr>
            <w:r>
              <w:rPr/>
              <w:t>GST receivable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24,923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128,031</w:t>
            </w:r>
          </w:p>
        </w:tc>
        <w:tc>
          <w:tcPr>
            <w:tcW w:w="110" w:type="dxa"/>
            <w:tcBorders/>
            <w:shd w:fill="CCEEFF" w:val="clear"/>
            <w:vAlign w:val="center"/>
          </w:tcPr>
          <w:p>
            <w:pPr>
              <w:pStyle w:val="TableContents"/>
              <w:bidi w:val="0"/>
              <w:spacing w:before="0" w:after="283"/>
              <w:jc w:val="left"/>
              <w:rPr/>
            </w:pPr>
            <w:r>
              <w:rPr/>
              <w:t> </w:t>
            </w:r>
            <w:bookmarkStart w:id="420" w:name="xdx_40D_eus-gaap--AllowanceForDoubtfulOt"/>
            <w:bookmarkEnd w:id="420"/>
          </w:p>
        </w:tc>
      </w:tr>
      <w:tr>
        <w:trPr/>
        <w:tc>
          <w:tcPr>
            <w:tcW w:w="4325"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pPr>
            <w:r>
              <w:rPr/>
              <w:t>(1,725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(1,725</w:t>
            </w:r>
          </w:p>
        </w:tc>
        <w:tc>
          <w:tcPr>
            <w:tcW w:w="110" w:type="dxa"/>
            <w:tcBorders/>
            <w:shd w:fill="FFFFFF" w:val="clear"/>
            <w:vAlign w:val="center"/>
          </w:tcPr>
          <w:p>
            <w:pPr>
              <w:pStyle w:val="TableContents"/>
              <w:bidi w:val="0"/>
              <w:spacing w:before="0" w:after="283"/>
              <w:jc w:val="left"/>
              <w:rPr/>
            </w:pPr>
            <w:r>
              <w:rPr/>
              <w:t>)</w:t>
            </w:r>
            <w:bookmarkStart w:id="421" w:name="xdx_403_eus-gaap--PrepaidExpenseAndOther"/>
            <w:bookmarkEnd w:id="421"/>
          </w:p>
        </w:tc>
      </w:tr>
      <w:tr>
        <w:trPr/>
        <w:tc>
          <w:tcPr>
            <w:tcW w:w="4325" w:type="dxa"/>
            <w:tcBorders/>
            <w:shd w:fill="CCEEFF" w:val="clear"/>
            <w:vAlign w:val="center"/>
          </w:tcPr>
          <w:p>
            <w:pPr>
              <w:pStyle w:val="TableContents"/>
              <w:bidi w:val="0"/>
              <w:spacing w:before="0" w:after="283"/>
              <w:jc w:val="left"/>
              <w:rPr/>
            </w:pPr>
            <w:r>
              <w:rPr/>
              <w:t>Total prepayments and other assets, net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446,556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pPr>
            <w:r>
              <w:rPr/>
              <w:t>317,537</w:t>
            </w:r>
          </w:p>
        </w:tc>
        <w:tc>
          <w:tcPr>
            <w:tcW w:w="110" w:type="dxa"/>
            <w:tcBorders/>
            <w:shd w:fill="CCEEFF" w:val="clear"/>
            <w:vAlign w:val="center"/>
          </w:tcPr>
          <w:p>
            <w:pPr>
              <w:pStyle w:val="TableContents"/>
              <w:bidi w:val="0"/>
              <w:spacing w:before="0" w:after="283"/>
              <w:jc w:val="left"/>
              <w:rPr/>
            </w:pPr>
            <w:r>
              <w:rPr/>
              <w:t> </w:t>
            </w:r>
            <w:bookmarkStart w:id="422" w:name="xdx_404_eus-gaap--PrepaidExpenseAndOther"/>
            <w:bookmarkEnd w:id="422"/>
          </w:p>
        </w:tc>
      </w:tr>
      <w:tr>
        <w:trPr/>
        <w:tc>
          <w:tcPr>
            <w:tcW w:w="4325" w:type="dxa"/>
            <w:tcBorders/>
            <w:shd w:fill="FFFFFF" w:val="clear"/>
            <w:vAlign w:val="center"/>
          </w:tcPr>
          <w:p>
            <w:pPr>
              <w:pStyle w:val="TableContents"/>
              <w:bidi w:val="0"/>
              <w:spacing w:before="0" w:after="283"/>
              <w:jc w:val="left"/>
              <w:rPr/>
            </w:pPr>
            <w:r>
              <w:rPr/>
              <w:t>Less: amounts classified as non-current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FFFFF" w:val="clear"/>
            <w:tcMar>
              <w:bottom w:w="28" w:type="dxa"/>
            </w:tcMar>
            <w:vAlign w:val="center"/>
          </w:tcPr>
          <w:p>
            <w:pPr>
              <w:pStyle w:val="TableContents"/>
              <w:bidi w:val="0"/>
              <w:spacing w:before="0" w:after="283"/>
              <w:jc w:val="right"/>
              <w:rPr/>
            </w:pPr>
            <w:r>
              <w:rPr/>
              <w:t>(1,486</w:t>
            </w:r>
          </w:p>
        </w:tc>
        <w:tc>
          <w:tcPr>
            <w:tcW w:w="110" w:type="dxa"/>
            <w:tcBorders/>
            <w:shd w:fill="FFFFFF" w:val="clear"/>
            <w:vAlign w:val="center"/>
          </w:tcPr>
          <w:p>
            <w:pPr>
              <w:pStyle w:val="TableContents"/>
              <w:bidi w:val="0"/>
              <w:spacing w:before="0" w:after="283"/>
              <w:jc w:val="left"/>
              <w:rPr/>
            </w:pPr>
            <w:r>
              <w:rPr/>
              <w:t>)</w:t>
            </w:r>
            <w:bookmarkStart w:id="423" w:name="xdx_40C_eus-gaap--PrepaidExpenseAndOther"/>
            <w:bookmarkEnd w:id="423"/>
          </w:p>
        </w:tc>
      </w:tr>
      <w:tr>
        <w:trPr/>
        <w:tc>
          <w:tcPr>
            <w:tcW w:w="4325" w:type="dxa"/>
            <w:tcBorders/>
            <w:shd w:fill="CCEEFF" w:val="clear"/>
            <w:vAlign w:val="center"/>
          </w:tcPr>
          <w:p>
            <w:pPr>
              <w:pStyle w:val="TableContents"/>
              <w:bidi w:val="0"/>
              <w:spacing w:before="0" w:after="283"/>
              <w:jc w:val="left"/>
              <w:rPr/>
            </w:pPr>
            <w:r>
              <w:rPr/>
              <w:t>Amounts classified as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pPr>
            <w:r>
              <w:rPr/>
              <w:t>446,556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pPr>
            <w:r>
              <w:rPr/>
              <w:t>316,051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4" w:name="xdx_8A4_zkxGHXafBur7"/>
      <w:bookmarkEnd w:id="42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Prepayments and Other Assets, Net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5" w:name="xdx_89D_ecustom--ScheduleOfMovementOfPre"/>
      <w:bookmarkEnd w:id="425"/>
      <w:r>
        <w:rPr>
          <w:rFonts w:ascii="Times New Roman;Times;Serif" w:hAnsi="Times New Roman;Times;Serif"/>
          <w:b w:val="false"/>
          <w:i w:val="false"/>
          <w:caps w:val="false"/>
          <w:smallCaps w:val="false"/>
          <w:sz w:val="20"/>
        </w:rPr>
        <w:t>The movement of allowances for credit losses is as follows:</w:t>
      </w:r>
    </w:p>
    <w:p>
      <w:pPr>
        <w:pStyle w:val="TextBody"/>
        <w:bidi w:val="0"/>
        <w:spacing w:before="0" w:after="0"/>
        <w:ind w:left="0" w:right="0" w:firstLine="504"/>
        <w:jc w:val="both"/>
        <w:rPr>
          <w:rFonts w:ascii="Times New Roman;Times;Serif" w:hAnsi="Times New Roman;Times;Serif"/>
          <w:b w:val="false"/>
          <w:i w:val="false"/>
          <w:caps w:val="false"/>
          <w:smallCaps w:val="false"/>
          <w:sz w:val="20"/>
        </w:rPr>
      </w:pPr>
      <w:bookmarkStart w:id="426" w:name="xdx_8B1_zENt0cGnzYe7"/>
      <w:bookmarkEnd w:id="426"/>
      <w:r>
        <w:rPr>
          <w:rFonts w:ascii="Times New Roman;Times;Serif" w:hAnsi="Times New Roman;Times;Serif"/>
          <w:b w:val="false"/>
          <w:i w:val="false"/>
          <w:caps w:val="false"/>
          <w:smallCaps w:val="false"/>
          <w:sz w:val="20"/>
        </w:rPr>
        <w:t>Schedule of Movement of Allowance for Credit Losses </w:t>
      </w:r>
    </w:p>
    <w:tbl>
      <w:tblPr>
        <w:tblW w:w="7359" w:type="dxa"/>
        <w:jc w:val="left"/>
        <w:tblInd w:w="0" w:type="dxa"/>
        <w:tblLayout w:type="fixed"/>
        <w:tblCellMar>
          <w:top w:w="0" w:type="dxa"/>
          <w:left w:w="0" w:type="dxa"/>
          <w:bottom w:w="0" w:type="dxa"/>
          <w:right w:w="0" w:type="dxa"/>
        </w:tblCellMar>
      </w:tblPr>
      <w:tblGrid>
        <w:gridCol w:w="4550"/>
        <w:gridCol w:w="60"/>
        <w:gridCol w:w="250"/>
        <w:gridCol w:w="1000"/>
        <w:gridCol w:w="87"/>
        <w:gridCol w:w="87"/>
        <w:gridCol w:w="250"/>
        <w:gridCol w:w="1000"/>
        <w:gridCol w:w="75"/>
      </w:tblGrid>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7" w:name="xdx_495_20260101__20260630_ztFOFhnnugTj"/>
            <w:bookmarkEnd w:id="427"/>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428" w:name="xdx_49B_20250101__20250630_z1DBiVK2BHFh"/>
            <w:bookmarkEnd w:id="428"/>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429" w:name="xdx_409_eus-gaap--AllowanceForDoubtfulOt"/>
            <w:bookmarkEnd w:id="429"/>
          </w:p>
        </w:tc>
      </w:tr>
      <w:tr>
        <w:trPr/>
        <w:tc>
          <w:tcPr>
            <w:tcW w:w="4550" w:type="dxa"/>
            <w:tcBorders/>
            <w:shd w:fill="CCEEFF" w:val="clear"/>
            <w:vAlign w:val="center"/>
          </w:tcPr>
          <w:p>
            <w:pPr>
              <w:pStyle w:val="TableContents"/>
              <w:bidi w:val="0"/>
              <w:spacing w:before="0" w:after="283"/>
              <w:jc w:val="left"/>
              <w:rPr/>
            </w:pPr>
            <w:r>
              <w:rPr/>
              <w:t>Beginning balance at January 1, 2026 and 2025</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1,725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1,725</w:t>
            </w:r>
          </w:p>
        </w:tc>
        <w:tc>
          <w:tcPr>
            <w:tcW w:w="75" w:type="dxa"/>
            <w:tcBorders/>
            <w:shd w:fill="CCEEFF" w:val="clear"/>
            <w:vAlign w:val="center"/>
          </w:tcPr>
          <w:p>
            <w:pPr>
              <w:pStyle w:val="TableContents"/>
              <w:bidi w:val="0"/>
              <w:spacing w:before="0" w:after="283"/>
              <w:jc w:val="left"/>
              <w:rPr/>
            </w:pPr>
            <w:r>
              <w:rPr/>
              <w:t> </w:t>
            </w:r>
            <w:bookmarkStart w:id="430" w:name="xdx_409_ecustom--ProvisionForCreditLosse"/>
            <w:bookmarkEnd w:id="430"/>
          </w:p>
        </w:tc>
      </w:tr>
      <w:tr>
        <w:trPr/>
        <w:tc>
          <w:tcPr>
            <w:tcW w:w="4550" w:type="dxa"/>
            <w:tcBorders/>
            <w:shd w:fill="FFFFFF" w:val="clear"/>
            <w:vAlign w:val="center"/>
          </w:tcPr>
          <w:p>
            <w:pPr>
              <w:pStyle w:val="TableContents"/>
              <w:bidi w:val="0"/>
              <w:spacing w:before="0" w:after="283"/>
              <w:jc w:val="left"/>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31" w:name="xdx_406_eus-gaap--AllowanceForDoubtfulOt"/>
            <w:bookmarkEnd w:id="431"/>
          </w:p>
        </w:tc>
      </w:tr>
      <w:tr>
        <w:trPr/>
        <w:tc>
          <w:tcPr>
            <w:tcW w:w="4550" w:type="dxa"/>
            <w:tcBorders/>
            <w:shd w:fill="CCEEFF" w:val="clear"/>
            <w:vAlign w:val="center"/>
          </w:tcPr>
          <w:p>
            <w:pPr>
              <w:pStyle w:val="TableContents"/>
              <w:bidi w:val="0"/>
              <w:spacing w:before="0" w:after="283"/>
              <w:jc w:val="left"/>
              <w:rPr/>
            </w:pPr>
            <w:r>
              <w:rPr/>
              <w:t>Ending balance at June 30, 2026 and 2025</w:t>
            </w:r>
          </w:p>
        </w:tc>
        <w:tc>
          <w:tcPr>
            <w:tcW w:w="60" w:type="dxa"/>
            <w:tcBorders/>
            <w:shd w:fill="CCEEFF" w:val="cle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pPr>
            <w:r>
              <w:rPr/>
              <w:t>1,725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pPr>
            <w:r>
              <w:rPr/>
              <w:t>1,725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2" w:name="xdx_8A7_zSGppb88P6t7"/>
      <w:bookmarkEnd w:id="43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3" w:name="xdx_803_eus-gaap--ShortTermDebtTextBlock"/>
      <w:bookmarkEnd w:id="433"/>
      <w:r>
        <w:rPr>
          <w:rFonts w:ascii="Times New Roman;Times;Serif" w:hAnsi="Times New Roman;Times;Serif"/>
          <w:b/>
          <w:i w:val="false"/>
          <w:caps w:val="false"/>
          <w:smallCaps w:val="false"/>
          <w:sz w:val="20"/>
        </w:rPr>
        <w:t xml:space="preserve">9. </w:t>
      </w:r>
      <w:bookmarkStart w:id="434" w:name="xdx_82C_zQ2CF8dMVIF4"/>
      <w:bookmarkEnd w:id="434"/>
      <w:r>
        <w:rPr>
          <w:rFonts w:ascii="Times New Roman;Times;Serif" w:hAnsi="Times New Roman;Times;Serif"/>
          <w:b/>
          <w:i w:val="false"/>
          <w:caps w:val="false"/>
          <w:smallCaps w:val="false"/>
          <w:sz w:val="20"/>
        </w:rPr>
        <w:t>Short-term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5" w:name="xdx_897_eus-gaap--ScheduleOfShortTermDeb"/>
      <w:bookmarkEnd w:id="435"/>
      <w:r>
        <w:rPr>
          <w:rFonts w:ascii="Times New Roman;Times;Serif" w:hAnsi="Times New Roman;Times;Serif"/>
          <w:b w:val="false"/>
          <w:i w:val="false"/>
          <w:caps w:val="false"/>
          <w:smallCaps w:val="false"/>
          <w:sz w:val="20"/>
        </w:rPr>
        <w:t>As of June 30, 2026 and December 31, 2025, short-term bank loans consisted of the following:</w:t>
      </w:r>
    </w:p>
    <w:p>
      <w:pPr>
        <w:pStyle w:val="TextBody"/>
        <w:bidi w:val="0"/>
        <w:spacing w:before="0" w:after="0"/>
        <w:ind w:left="0" w:right="0" w:hanging="0"/>
        <w:jc w:val="left"/>
        <w:rPr>
          <w:caps w:val="false"/>
          <w:smallCaps w:val="false"/>
        </w:rPr>
      </w:pPr>
      <w:r>
        <w:rPr>
          <w:caps w:val="false"/>
          <w:smallCaps w:val="false"/>
        </w:rPr>
        <w:t> </w:t>
      </w:r>
      <w:bookmarkStart w:id="436" w:name="xdx_8BD_zFjmbHdnFE11"/>
      <w:bookmarkEnd w:id="436"/>
      <w:r>
        <w:rPr>
          <w:rFonts w:ascii="Times New Roman;Times;Serif" w:hAnsi="Times New Roman;Times;Serif"/>
          <w:b w:val="false"/>
          <w:i w:val="false"/>
          <w:caps w:val="false"/>
          <w:smallCaps w:val="false"/>
          <w:sz w:val="20"/>
        </w:rPr>
        <w:t>Schedule of Short Term Bank Loans</w:t>
      </w:r>
    </w:p>
    <w:tbl>
      <w:tblPr>
        <w:tblW w:w="5758" w:type="dxa"/>
        <w:jc w:val="left"/>
        <w:tblInd w:w="0" w:type="dxa"/>
        <w:tblLayout w:type="fixed"/>
        <w:tblCellMar>
          <w:top w:w="0" w:type="dxa"/>
          <w:left w:w="0" w:type="dxa"/>
          <w:bottom w:w="0" w:type="dxa"/>
          <w:right w:w="0" w:type="dxa"/>
        </w:tblCellMar>
      </w:tblPr>
      <w:tblGrid>
        <w:gridCol w:w="2840"/>
        <w:gridCol w:w="60"/>
        <w:gridCol w:w="155"/>
        <w:gridCol w:w="1094"/>
        <w:gridCol w:w="60"/>
        <w:gridCol w:w="60"/>
        <w:gridCol w:w="176"/>
        <w:gridCol w:w="1238"/>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7" w:name="xdx_494_20260630_zl2fbzcGOuxe"/>
            <w:bookmarkEnd w:id="437"/>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8" w:name="xdx_497_20251231_z690pTFfrFt1"/>
            <w:bookmarkEnd w:id="438"/>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75" w:type="dxa"/>
            <w:tcBorders/>
            <w:vAlign w:val="center"/>
          </w:tcPr>
          <w:p>
            <w:pPr>
              <w:pStyle w:val="TableContents"/>
              <w:bidi w:val="0"/>
              <w:spacing w:before="0" w:after="283"/>
              <w:jc w:val="left"/>
              <w:rPr/>
            </w:pPr>
            <w:r>
              <w:rPr/>
              <w:t> </w:t>
            </w:r>
            <w:bookmarkStart w:id="439" w:name="xdx_407_eus-gaap--LineOfCredit_iI_maSTBz"/>
            <w:bookmarkEnd w:id="439"/>
          </w:p>
        </w:tc>
      </w:tr>
      <w:tr>
        <w:trPr/>
        <w:tc>
          <w:tcPr>
            <w:tcW w:w="2840" w:type="dxa"/>
            <w:tcBorders/>
            <w:shd w:fill="CCEEFF" w:val="clear"/>
            <w:vAlign w:val="center"/>
          </w:tcPr>
          <w:p>
            <w:pPr>
              <w:pStyle w:val="TableContents"/>
              <w:bidi w:val="0"/>
              <w:spacing w:before="0" w:after="283"/>
              <w:jc w:val="left"/>
              <w:rPr/>
            </w:pPr>
            <w:r>
              <w:rPr/>
              <w:t>Trade financing</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1,388,443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1,215,217</w:t>
            </w:r>
          </w:p>
        </w:tc>
        <w:tc>
          <w:tcPr>
            <w:tcW w:w="75" w:type="dxa"/>
            <w:tcBorders/>
            <w:shd w:fill="CCEEFF" w:val="clear"/>
            <w:vAlign w:val="center"/>
          </w:tcPr>
          <w:p>
            <w:pPr>
              <w:pStyle w:val="TableContents"/>
              <w:bidi w:val="0"/>
              <w:spacing w:before="0" w:after="283"/>
              <w:jc w:val="left"/>
              <w:rPr/>
            </w:pPr>
            <w:r>
              <w:rPr/>
              <w:t> </w:t>
            </w:r>
            <w:bookmarkStart w:id="440" w:name="xdx_40D_eus-gaap--CommercialPaper_iI_maS"/>
            <w:bookmarkEnd w:id="440"/>
          </w:p>
        </w:tc>
      </w:tr>
      <w:tr>
        <w:trPr/>
        <w:tc>
          <w:tcPr>
            <w:tcW w:w="2840" w:type="dxa"/>
            <w:tcBorders/>
            <w:shd w:fill="FFFFFF" w:val="clear"/>
            <w:vAlign w:val="center"/>
          </w:tcPr>
          <w:p>
            <w:pPr>
              <w:pStyle w:val="TableContents"/>
              <w:bidi w:val="0"/>
              <w:spacing w:before="0" w:after="283"/>
              <w:jc w:val="left"/>
              <w:rPr/>
            </w:pPr>
            <w:r>
              <w:rPr/>
              <w:t>Issuance of commercial paper</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bookmarkStart w:id="441" w:name="xdx_40C_eus-gaap--ShortTermBorrowings_iT"/>
            <w:bookmarkEnd w:id="441"/>
          </w:p>
        </w:tc>
      </w:tr>
      <w:tr>
        <w:trPr/>
        <w:tc>
          <w:tcPr>
            <w:tcW w:w="28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4,388,443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4,215,217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2" w:name="xdx_8AE_zN2ryD8TsFnh"/>
      <w:bookmarkEnd w:id="44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2024, a financial institution in Singapore, granted the Group banking facilities for 12 months through July 2025, and subsequently on 18 June 2026, extended the banking facilities for 12 months through July 2027, comprising (i) a trade financing facility of US$</w:t>
      </w:r>
      <w:bookmarkStart w:id="443" w:name="xdx_90A_eus-gaap--LineOfCreditFacilityCu"/>
      <w:bookmarkEnd w:id="443"/>
      <w:r>
        <w:rPr>
          <w:rFonts w:ascii="Times New Roman;Times;Serif" w:hAnsi="Times New Roman;Times;Serif"/>
          <w:b w:val="false"/>
          <w:i w:val="false"/>
          <w:caps w:val="false"/>
          <w:smallCaps w:val="false"/>
          <w:sz w:val="20"/>
        </w:rPr>
        <w:t xml:space="preserve">3,000,000, with an interest rate of </w:t>
      </w:r>
      <w:bookmarkStart w:id="444" w:name="xdx_90B_eus-gaap--LineOfCreditFacilityIn"/>
      <w:bookmarkEnd w:id="444"/>
      <w:r>
        <w:rPr>
          <w:rFonts w:ascii="Times New Roman;Times;Serif" w:hAnsi="Times New Roman;Times;Serif"/>
          <w:b w:val="false"/>
          <w:i w:val="false"/>
          <w:caps w:val="false"/>
          <w:smallCaps w:val="false"/>
          <w:sz w:val="20"/>
        </w:rPr>
        <w:t>1.65% per annum over the bank’s cost of funds and a financing period of up to 45 days for supplier invoices, and (ii) a foreign exchange facility of US$</w:t>
      </w:r>
      <w:bookmarkStart w:id="445" w:name="xdx_904_eus-gaap--LineOfCreditFacilityMa"/>
      <w:bookmarkEnd w:id="445"/>
      <w:r>
        <w:rPr>
          <w:rFonts w:ascii="Times New Roman;Times;Serif" w:hAnsi="Times New Roman;Times;Serif"/>
          <w:b w:val="false"/>
          <w:i w:val="false"/>
          <w:caps w:val="false"/>
          <w:smallCaps w:val="false"/>
          <w:sz w:val="20"/>
        </w:rPr>
        <w:t xml:space="preserve">2,000,000, with a maximum tenor of </w:t>
      </w:r>
      <w:bookmarkStart w:id="446" w:name="xdx_901_eus-gaap--DebtInstrumentTerm_dtM"/>
      <w:bookmarkEnd w:id="446"/>
      <w:r>
        <w:rPr>
          <w:rFonts w:ascii="Times New Roman;Times;Serif" w:hAnsi="Times New Roman;Times;Serif"/>
          <w:b w:val="false"/>
          <w:i w:val="false"/>
          <w:caps w:val="false"/>
          <w:smallCaps w:val="false"/>
          <w:sz w:val="20"/>
        </w:rPr>
        <w:t>3 months. As of June 30, 2026 and December 31, 2025, only the trade financing facilities were drawn down, with an outstanding balance of $</w:t>
      </w:r>
      <w:bookmarkStart w:id="447" w:name="xdx_906_eus-gaap--LineOfCredit_iI_c20260"/>
      <w:bookmarkEnd w:id="447"/>
      <w:r>
        <w:rPr>
          <w:rFonts w:ascii="Times New Roman;Times;Serif" w:hAnsi="Times New Roman;Times;Serif"/>
          <w:b w:val="false"/>
          <w:i w:val="false"/>
          <w:caps w:val="false"/>
          <w:smallCaps w:val="false"/>
          <w:sz w:val="20"/>
        </w:rPr>
        <w:t>1,388,443 and $</w:t>
      </w:r>
      <w:bookmarkStart w:id="448" w:name="xdx_90C_eus-gaap--LineOfCredit_iI_c20251"/>
      <w:bookmarkEnd w:id="448"/>
      <w:r>
        <w:rPr>
          <w:rFonts w:ascii="Times New Roman;Times;Serif" w:hAnsi="Times New Roman;Times;Serif"/>
          <w:b w:val="false"/>
          <w:i w:val="false"/>
          <w:caps w:val="false"/>
          <w:smallCaps w:val="false"/>
          <w:sz w:val="20"/>
        </w:rPr>
        <w:t>1,215,217, respectively. The outstanding as of December 31, 2025 and June 30, 2026 were fully repaid on January 16, 2026 and August 4, 2026, respectively. The banking facilities were guaranteed by the Company’s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Group completed the offering of its 3M USD Commercial Paper Series 004, successfully raising $</w:t>
      </w:r>
      <w:bookmarkStart w:id="449" w:name="xdx_902_eus-gaap--CommercialPaper_iI_c20"/>
      <w:bookmarkEnd w:id="449"/>
      <w:r>
        <w:rPr>
          <w:rFonts w:ascii="Times New Roman;Times;Serif" w:hAnsi="Times New Roman;Times;Serif"/>
          <w:b w:val="false"/>
          <w:i w:val="false"/>
          <w:caps w:val="false"/>
          <w:smallCaps w:val="false"/>
          <w:sz w:val="20"/>
        </w:rPr>
        <w:t xml:space="preserve">3,000,000, at an interest rate of </w:t>
      </w:r>
      <w:bookmarkStart w:id="450" w:name="xdx_900_eus-gaap--DebtInstrumentInterest"/>
      <w:bookmarkEnd w:id="450"/>
      <w:r>
        <w:rPr>
          <w:rFonts w:ascii="Times New Roman;Times;Serif" w:hAnsi="Times New Roman;Times;Serif"/>
          <w:b w:val="false"/>
          <w:i w:val="false"/>
          <w:caps w:val="false"/>
          <w:smallCaps w:val="false"/>
          <w:sz w:val="20"/>
        </w:rPr>
        <w:t xml:space="preserve">6.25% per annum for a tenor of </w:t>
      </w:r>
      <w:bookmarkStart w:id="451" w:name="xdx_906_eus-gaap--DebtInstrumentTerm_dtM"/>
      <w:bookmarkEnd w:id="451"/>
      <w:r>
        <w:rPr>
          <w:rFonts w:ascii="Times New Roman;Times;Serif" w:hAnsi="Times New Roman;Times;Serif"/>
          <w:b w:val="false"/>
          <w:i w:val="false"/>
          <w:caps w:val="false"/>
          <w:smallCaps w:val="false"/>
          <w:sz w:val="20"/>
        </w:rPr>
        <w:t>3 months on ADDX, a private market platform regulated by the Monetary Authority of Singapore. The outstanding as of June 30, 2026 was fully repaid on July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significant covenants were noted in the Group’s banking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and 2025, the weighted average annual interest rates for the short-term bank loans were approximately </w:t>
      </w:r>
      <w:bookmarkStart w:id="452" w:name="xdx_907_eus-gaap--ShortTermDebtWeightedA"/>
      <w:bookmarkEnd w:id="452"/>
      <w:r>
        <w:rPr>
          <w:rFonts w:ascii="Times New Roman;Times;Serif" w:hAnsi="Times New Roman;Times;Serif"/>
          <w:b w:val="false"/>
          <w:i w:val="false"/>
          <w:caps w:val="false"/>
          <w:smallCaps w:val="false"/>
          <w:sz w:val="20"/>
        </w:rPr>
        <w:t xml:space="preserve">5.51% and </w:t>
      </w:r>
      <w:bookmarkStart w:id="453" w:name="xdx_905_eus-gaap--ShortTermDebtWeightedA"/>
      <w:bookmarkEnd w:id="453"/>
      <w:r>
        <w:rPr>
          <w:rFonts w:ascii="Times New Roman;Times;Serif" w:hAnsi="Times New Roman;Times;Serif"/>
          <w:b w:val="false"/>
          <w:i w:val="false"/>
          <w:caps w:val="false"/>
          <w:smallCaps w:val="false"/>
          <w:sz w:val="20"/>
        </w:rPr>
        <w:t>6.14% per annum, respectively. Interest expenses for the six months ended June 30, 2026 and 2025, were $</w:t>
      </w:r>
      <w:bookmarkStart w:id="454" w:name="xdx_90C_eus-gaap--InterestExpense_c20260"/>
      <w:bookmarkEnd w:id="454"/>
      <w:r>
        <w:rPr>
          <w:rFonts w:ascii="Times New Roman;Times;Serif" w:hAnsi="Times New Roman;Times;Serif"/>
          <w:b w:val="false"/>
          <w:i w:val="false"/>
          <w:caps w:val="false"/>
          <w:smallCaps w:val="false"/>
          <w:sz w:val="20"/>
        </w:rPr>
        <w:t>124,005 and $</w:t>
      </w:r>
      <w:bookmarkStart w:id="455" w:name="xdx_903_eus-gaap--InterestExpense_c20250"/>
      <w:bookmarkEnd w:id="455"/>
      <w:r>
        <w:rPr>
          <w:rFonts w:ascii="Times New Roman;Times;Serif" w:hAnsi="Times New Roman;Times;Serif"/>
          <w:b w:val="false"/>
          <w:i w:val="false"/>
          <w:caps w:val="false"/>
          <w:smallCaps w:val="false"/>
          <w:sz w:val="20"/>
        </w:rPr>
        <w:t>33,415, respectively and relate solely to trade financing arrangements and the issuance of commercial paper.</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6" w:name="xdx_802_eus-gaap--StockholdersEquityNote"/>
      <w:bookmarkEnd w:id="456"/>
      <w:r>
        <w:rPr>
          <w:rFonts w:ascii="Times New Roman;Times;Serif" w:hAnsi="Times New Roman;Times;Serif"/>
          <w:b/>
          <w:i w:val="false"/>
          <w:caps w:val="false"/>
          <w:smallCaps w:val="false"/>
          <w:sz w:val="20"/>
        </w:rPr>
        <w:t xml:space="preserve">10. </w:t>
      </w:r>
      <w:bookmarkStart w:id="457" w:name="xdx_827_zBwcxGvHJgd"/>
      <w:bookmarkEnd w:id="457"/>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established under the laws of Cayman Islands on March 8, 2024. The authorized number of ordinary shares was </w:t>
      </w:r>
      <w:bookmarkStart w:id="458" w:name="xdx_90A_eus-gaap--CommonStockSharesAutho"/>
      <w:bookmarkEnd w:id="458"/>
      <w:r>
        <w:rPr>
          <w:rFonts w:ascii="Times New Roman;Times;Serif" w:hAnsi="Times New Roman;Times;Serif"/>
          <w:b w:val="false"/>
          <w:i w:val="false"/>
          <w:caps w:val="false"/>
          <w:smallCaps w:val="false"/>
          <w:sz w:val="20"/>
        </w:rPr>
        <w:t>500,000,000 shares, par value of US$</w:t>
      </w:r>
      <w:bookmarkStart w:id="459" w:name="xdx_90B_eus-gaap--CommonStockParOrStated"/>
      <w:bookmarkEnd w:id="459"/>
      <w:r>
        <w:rPr>
          <w:rFonts w:ascii="Times New Roman;Times;Serif" w:hAnsi="Times New Roman;Times;Serif"/>
          <w:b w:val="false"/>
          <w:i w:val="false"/>
          <w:caps w:val="false"/>
          <w:smallCaps w:val="false"/>
          <w:sz w:val="20"/>
        </w:rPr>
        <w:t xml:space="preserve">0.0001 per share, consisting of (i) </w:t>
      </w:r>
      <w:bookmarkStart w:id="460" w:name="xdx_907_eus-gaap--CommonStockSharesAutho"/>
      <w:bookmarkEnd w:id="460"/>
      <w:r>
        <w:rPr>
          <w:rFonts w:ascii="Times New Roman;Times;Serif" w:hAnsi="Times New Roman;Times;Serif"/>
          <w:b w:val="false"/>
          <w:i w:val="false"/>
          <w:caps w:val="false"/>
          <w:smallCaps w:val="false"/>
          <w:sz w:val="20"/>
        </w:rPr>
        <w:t>450,000,000 Class A ordinary shares with a par value of US$</w:t>
      </w:r>
      <w:bookmarkStart w:id="461" w:name="xdx_90D_eus-gaap--CommonStockParOrStated"/>
      <w:bookmarkEnd w:id="461"/>
      <w:r>
        <w:rPr>
          <w:rFonts w:ascii="Times New Roman;Times;Serif" w:hAnsi="Times New Roman;Times;Serif"/>
          <w:b w:val="false"/>
          <w:i w:val="false"/>
          <w:caps w:val="false"/>
          <w:smallCaps w:val="false"/>
          <w:sz w:val="20"/>
        </w:rPr>
        <w:t xml:space="preserve">0.0001 each; and (ii) </w:t>
      </w:r>
      <w:bookmarkStart w:id="462" w:name="xdx_90C_eus-gaap--CommonStockSharesAutho"/>
      <w:bookmarkEnd w:id="462"/>
      <w:r>
        <w:rPr>
          <w:rFonts w:ascii="Times New Roman;Times;Serif" w:hAnsi="Times New Roman;Times;Serif"/>
          <w:b w:val="false"/>
          <w:i w:val="false"/>
          <w:caps w:val="false"/>
          <w:smallCaps w:val="false"/>
          <w:sz w:val="20"/>
        </w:rPr>
        <w:t>50,000,000 Class B ordinary shares with a par value of US$</w:t>
      </w:r>
      <w:bookmarkStart w:id="463" w:name="xdx_90A_eus-gaap--CommonStockParOrStated"/>
      <w:bookmarkEnd w:id="463"/>
      <w:r>
        <w:rPr>
          <w:rFonts w:ascii="Times New Roman;Times;Serif" w:hAnsi="Times New Roman;Times;Serif"/>
          <w:b w:val="false"/>
          <w:i w:val="false"/>
          <w:caps w:val="false"/>
          <w:smallCaps w:val="false"/>
          <w:sz w:val="20"/>
        </w:rPr>
        <w:t xml:space="preserve">0.0001 each. On March 8, 2024, the Company issued </w:t>
      </w:r>
      <w:bookmarkStart w:id="464" w:name="xdx_902_eus-gaap--CommonStockSharesIssue"/>
      <w:bookmarkEnd w:id="464"/>
      <w:r>
        <w:rPr>
          <w:rFonts w:ascii="Times New Roman;Times;Serif" w:hAnsi="Times New Roman;Times;Serif"/>
          <w:b w:val="false"/>
          <w:i w:val="false"/>
          <w:caps w:val="false"/>
          <w:smallCaps w:val="false"/>
          <w:sz w:val="20"/>
        </w:rPr>
        <w:t>1 Class B ordinary share with a par value of US$</w:t>
      </w:r>
      <w:bookmarkStart w:id="465" w:name="xdx_906_eus-gaap--CommonStockParOrStated"/>
      <w:bookmarkEnd w:id="465"/>
      <w:r>
        <w:rPr>
          <w:rFonts w:ascii="Times New Roman;Times;Serif" w:hAnsi="Times New Roman;Times;Serif"/>
          <w:b w:val="false"/>
          <w:i w:val="false"/>
          <w:caps w:val="false"/>
          <w:smallCaps w:val="false"/>
          <w:sz w:val="20"/>
        </w:rPr>
        <w:t>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66" w:name="xdx_907_eus-gaap--CommonStockVotingRight"/>
      <w:bookmarkEnd w:id="466"/>
      <w:r>
        <w:rPr>
          <w:rFonts w:ascii="Times New Roman;Times;Serif" w:hAnsi="Times New Roman;Times;Serif"/>
          <w:b w:val="false"/>
          <w:i w:val="false"/>
          <w:caps w:val="false"/>
          <w:smallCaps w:val="false"/>
          <w:sz w:val="20"/>
        </w:rPr>
        <w:t>Each holder of Class A ordinary share is entitled to exercise one vote for each Class A ordinary held on any and all matters to be voted thereon in a general meeting of shareholders, and each holder of Class B ordinary share is entitled to exercise ten votes for each Class B ordinary share held on any and all matters to be voted thereon in a general meeting of shareholders. Each Class B ordinary share can be converted at the holder’s option into one Class A ordinary share whilst Class A ordinary shares cannot be converted into Class B ordinary shares. Holders of both Class A and Class B ordinary shares are entitled to receive dividends paid by the Company at the same rate and have equal rights to the surplus assets of the Company upon its liquidation, as stipulated in the Company’s Memorandum and Articles of Association. These shares rank pari passu in all other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 2024, the shareholder of the Company resolved to allot </w:t>
      </w:r>
      <w:bookmarkStart w:id="467" w:name="xdx_90E_eus-gaap--CommonStockSharesAutho"/>
      <w:bookmarkEnd w:id="467"/>
      <w:r>
        <w:rPr>
          <w:rFonts w:ascii="Times New Roman;Times;Serif" w:hAnsi="Times New Roman;Times;Serif"/>
          <w:b w:val="false"/>
          <w:i w:val="false"/>
          <w:caps w:val="false"/>
          <w:smallCaps w:val="false"/>
          <w:sz w:val="20"/>
        </w:rPr>
        <w:t>29,999,999 Class B ordinary shares with a par value of US$</w:t>
      </w:r>
      <w:bookmarkStart w:id="468" w:name="xdx_90C_eus-gaap--CommonStockParOrStated"/>
      <w:bookmarkEnd w:id="468"/>
      <w:r>
        <w:rPr>
          <w:rFonts w:ascii="Times New Roman;Times;Serif" w:hAnsi="Times New Roman;Times;Serif"/>
          <w:b w:val="false"/>
          <w:i w:val="false"/>
          <w:caps w:val="false"/>
          <w:smallCaps w:val="false"/>
          <w:sz w:val="20"/>
        </w:rPr>
        <w:t xml:space="preserve">0.0001 each. Further on September 4, 2024, the holder of Class B ordinary shares converted </w:t>
      </w:r>
      <w:bookmarkStart w:id="469" w:name="xdx_908_eus-gaap--ConversionOfStockShare"/>
      <w:bookmarkEnd w:id="469"/>
      <w:r>
        <w:rPr>
          <w:rFonts w:ascii="Times New Roman;Times;Serif" w:hAnsi="Times New Roman;Times;Serif"/>
          <w:b w:val="false"/>
          <w:i w:val="false"/>
          <w:caps w:val="false"/>
          <w:smallCaps w:val="false"/>
          <w:sz w:val="20"/>
        </w:rPr>
        <w:t xml:space="preserve">6,000,000 Class B ordinary shares into </w:t>
      </w:r>
      <w:bookmarkStart w:id="470" w:name="xdx_900_eus-gaap--ConversionOfStockShare"/>
      <w:bookmarkEnd w:id="470"/>
      <w:r>
        <w:rPr>
          <w:rFonts w:ascii="Times New Roman;Times;Serif" w:hAnsi="Times New Roman;Times;Serif"/>
          <w:b w:val="false"/>
          <w:i w:val="false"/>
          <w:caps w:val="false"/>
          <w:smallCaps w:val="false"/>
          <w:sz w:val="20"/>
        </w:rPr>
        <w:t>6,000,000 Class A ordinary shares with par value of US$</w:t>
      </w:r>
      <w:bookmarkStart w:id="471" w:name="xdx_904_eus-gaap--CommonStockParOrStated"/>
      <w:bookmarkEnd w:id="471"/>
      <w:r>
        <w:rPr>
          <w:rFonts w:ascii="Times New Roman;Times;Serif" w:hAnsi="Times New Roman;Times;Serif"/>
          <w:b w:val="false"/>
          <w:i w:val="false"/>
          <w:caps w:val="false"/>
          <w:smallCaps w:val="false"/>
          <w:sz w:val="20"/>
        </w:rPr>
        <w:t xml:space="preserve">0.0001 each. Then on September 25, 2024, the holder of Class B ordinary shares further converted </w:t>
      </w:r>
      <w:bookmarkStart w:id="472" w:name="xdx_90F_eus-gaap--ConversionOfStockShare"/>
      <w:bookmarkEnd w:id="472"/>
      <w:r>
        <w:rPr>
          <w:rFonts w:ascii="Times New Roman;Times;Serif" w:hAnsi="Times New Roman;Times;Serif"/>
          <w:b w:val="false"/>
          <w:i w:val="false"/>
          <w:caps w:val="false"/>
          <w:smallCaps w:val="false"/>
          <w:sz w:val="20"/>
        </w:rPr>
        <w:t xml:space="preserve">1,350,000 Class B ordinary shares into </w:t>
      </w:r>
      <w:bookmarkStart w:id="473" w:name="xdx_904_eus-gaap--ConversionOfStockShare"/>
      <w:bookmarkEnd w:id="473"/>
      <w:r>
        <w:rPr>
          <w:rFonts w:ascii="Times New Roman;Times;Serif" w:hAnsi="Times New Roman;Times;Serif"/>
          <w:b w:val="false"/>
          <w:i w:val="false"/>
          <w:caps w:val="false"/>
          <w:smallCaps w:val="false"/>
          <w:sz w:val="20"/>
        </w:rPr>
        <w:t>1,350,000 Class A ordinary shares with par value of US$</w:t>
      </w:r>
      <w:bookmarkStart w:id="474" w:name="xdx_90F_eus-gaap--CommonStockParOrStated"/>
      <w:bookmarkEnd w:id="474"/>
      <w:r>
        <w:rPr>
          <w:rFonts w:ascii="Times New Roman;Times;Serif" w:hAnsi="Times New Roman;Times;Serif"/>
          <w:b w:val="false"/>
          <w:i w:val="false"/>
          <w:caps w:val="false"/>
          <w:smallCaps w:val="false"/>
          <w:sz w:val="20"/>
        </w:rPr>
        <w:t xml:space="preserve">0.0001 each. After the allotment of Class B ordinary shares and subsequent conversions into Class A ordinary shares, the Company has </w:t>
      </w:r>
      <w:bookmarkStart w:id="475" w:name="xdx_90F_eus-gaap--CommonStockSharesIssue"/>
      <w:bookmarkEnd w:id="475"/>
      <w:r>
        <w:rPr>
          <w:rFonts w:ascii="Times New Roman;Times;Serif" w:hAnsi="Times New Roman;Times;Serif"/>
          <w:b w:val="false"/>
          <w:i w:val="false"/>
          <w:caps w:val="false"/>
          <w:smallCaps w:val="false"/>
          <w:sz w:val="20"/>
        </w:rPr>
        <w:t xml:space="preserve">7,350,000 Class A ordinary shares and </w:t>
      </w:r>
      <w:bookmarkStart w:id="476" w:name="xdx_90D_eus-gaap--CommonStockSharesIssue"/>
      <w:bookmarkEnd w:id="476"/>
      <w:r>
        <w:rPr>
          <w:rFonts w:ascii="Times New Roman;Times;Serif" w:hAnsi="Times New Roman;Times;Serif"/>
          <w:b w:val="false"/>
          <w:i w:val="false"/>
          <w:caps w:val="false"/>
          <w:smallCaps w:val="false"/>
          <w:sz w:val="20"/>
        </w:rPr>
        <w:t>22,650,000 Class B ordinary shares in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considered the above allotment of </w:t>
      </w:r>
      <w:bookmarkStart w:id="477" w:name="xdx_90E_eus-gaap--CommonStockSharesAutho"/>
      <w:bookmarkEnd w:id="477"/>
      <w:r>
        <w:rPr>
          <w:rFonts w:ascii="Times New Roman;Times;Serif" w:hAnsi="Times New Roman;Times;Serif"/>
          <w:b w:val="false"/>
          <w:i w:val="false"/>
          <w:caps w:val="false"/>
          <w:smallCaps w:val="false"/>
          <w:sz w:val="20"/>
        </w:rPr>
        <w:t xml:space="preserve">29,999,999 Class B ordinary shares part of its recapitalization prior to the completion of its initial public offering. This allotment was solely intended to increase the number of shares and represented an adjustment to the Company’s share structure, aimed at realigning its capital structure to facilitate the subsequent issuance of new shares for the IPO. The shares were issued at par value, with no consideration paid. Therefore, the Company considers the allotment of </w:t>
      </w:r>
      <w:bookmarkStart w:id="478" w:name="xdx_900_eus-gaap--CommonStockSharesAutho"/>
      <w:bookmarkEnd w:id="478"/>
      <w:r>
        <w:rPr>
          <w:rFonts w:ascii="Times New Roman;Times;Serif" w:hAnsi="Times New Roman;Times;Serif"/>
          <w:b w:val="false"/>
          <w:i w:val="false"/>
          <w:caps w:val="false"/>
          <w:smallCaps w:val="false"/>
          <w:sz w:val="20"/>
        </w:rPr>
        <w:t xml:space="preserve">29,999,999 Class B ordinary shares to be a share split. The Company believed that it is appropriate to reflect the above transactions on a retroactive basis pursuant to ASC 260, Earnings Per Share, ASC 505, Equity and SAB Topic 4C. All shares and per share amounts used herein and in the accompanying unaudited condensed consolidated financial statements have been retroactively restated to reflect the above transactions. By recognizing the above transactions on a retroactive basis, </w:t>
      </w:r>
      <w:bookmarkStart w:id="479" w:name="xdx_901_eus-gaap--CommonStockSharesOutst"/>
      <w:bookmarkStart w:id="480" w:name="xdx_901_eus-gaap--CommonStockSharesOutst"/>
      <w:bookmarkStart w:id="481" w:name="xdx_903_eus-gaap--CommonStockSharesIssue"/>
      <w:bookmarkStart w:id="482" w:name="xdx_90E_eus-gaap--CommonStockSharesIssue"/>
      <w:bookmarkEnd w:id="479"/>
      <w:bookmarkEnd w:id="480"/>
      <w:bookmarkEnd w:id="481"/>
      <w:bookmarkEnd w:id="482"/>
      <w:r>
        <w:rPr>
          <w:rFonts w:ascii="Times New Roman;Times;Serif" w:hAnsi="Times New Roman;Times;Serif"/>
          <w:b w:val="false"/>
          <w:i w:val="false"/>
          <w:caps w:val="false"/>
          <w:smallCaps w:val="false"/>
          <w:sz w:val="20"/>
        </w:rPr>
        <w:t>30,000,000 Class B ordinary shares were issued and outstanding as of June 30, 2024 and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Contrary to the allotment, the conversions of </w:t>
      </w:r>
      <w:bookmarkStart w:id="483" w:name="xdx_908_eus-gaap--ConversionOfStockShare"/>
      <w:bookmarkEnd w:id="483"/>
      <w:r>
        <w:rPr>
          <w:rFonts w:ascii="Times New Roman;Times;Serif" w:hAnsi="Times New Roman;Times;Serif"/>
          <w:b w:val="false"/>
          <w:i w:val="false"/>
          <w:caps w:val="false"/>
          <w:smallCaps w:val="false"/>
          <w:sz w:val="20"/>
        </w:rPr>
        <w:t xml:space="preserve">6,000,000 and </w:t>
      </w:r>
      <w:bookmarkStart w:id="484" w:name="xdx_909_eus-gaap--ConversionOfStockShare"/>
      <w:bookmarkEnd w:id="484"/>
      <w:r>
        <w:rPr>
          <w:rFonts w:ascii="Times New Roman;Times;Serif" w:hAnsi="Times New Roman;Times;Serif"/>
          <w:b w:val="false"/>
          <w:i w:val="false"/>
          <w:caps w:val="false"/>
          <w:smallCaps w:val="false"/>
          <w:sz w:val="20"/>
        </w:rPr>
        <w:t>1,350,000 Class B ordinary shares into Class A ordinary shares were accounted for prospectively and were recognized by the Company on September 4, 2024 and September 25,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15, 2025, the Company consummated its initial public offering (“IPO”) of </w:t>
      </w:r>
      <w:bookmarkStart w:id="485" w:name="xdx_90B_eus-gaap--SaleOfStockNumberOfSha"/>
      <w:bookmarkEnd w:id="485"/>
      <w:r>
        <w:rPr>
          <w:rFonts w:ascii="Times New Roman;Times;Serif" w:hAnsi="Times New Roman;Times;Serif"/>
          <w:b w:val="false"/>
          <w:i w:val="false"/>
          <w:caps w:val="false"/>
          <w:smallCaps w:val="false"/>
          <w:sz w:val="20"/>
        </w:rPr>
        <w:t xml:space="preserve">2,100,000 Class A Ordinary Shares. On February 4, 2025, the underwriter exercised the OA Option in full to purchase </w:t>
      </w:r>
      <w:bookmarkStart w:id="486" w:name="xdx_901_eus-gaap--SaleOfStockNumberOfSha"/>
      <w:bookmarkEnd w:id="486"/>
      <w:r>
        <w:rPr>
          <w:rFonts w:ascii="Times New Roman;Times;Serif" w:hAnsi="Times New Roman;Times;Serif"/>
          <w:b w:val="false"/>
          <w:i w:val="false"/>
          <w:caps w:val="false"/>
          <w:smallCaps w:val="false"/>
          <w:sz w:val="20"/>
        </w:rPr>
        <w:t>315,000 additional Class A Ordinary Shares from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Shareholders’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allotted </w:t>
      </w:r>
      <w:bookmarkStart w:id="487" w:name="xdx_90B_eus-gaap--StockIssuedDuringPerio"/>
      <w:bookmarkEnd w:id="487"/>
      <w:r>
        <w:rPr>
          <w:rFonts w:ascii="Times New Roman;Times;Serif" w:hAnsi="Times New Roman;Times;Serif"/>
          <w:b w:val="false"/>
          <w:i w:val="false"/>
          <w:caps w:val="false"/>
          <w:smallCaps w:val="false"/>
          <w:sz w:val="20"/>
        </w:rPr>
        <w:t>50,000 Class A ordinary shares with par value of US$</w:t>
      </w:r>
      <w:bookmarkStart w:id="488" w:name="xdx_904_eus-gaap--CommonStockParOrStated"/>
      <w:bookmarkEnd w:id="488"/>
      <w:r>
        <w:rPr>
          <w:rFonts w:ascii="Times New Roman;Times;Serif" w:hAnsi="Times New Roman;Times;Serif"/>
          <w:b w:val="false"/>
          <w:i w:val="false"/>
          <w:caps w:val="false"/>
          <w:smallCaps w:val="false"/>
          <w:sz w:val="20"/>
        </w:rPr>
        <w:t>0.0001 each to a consultant for services rendered. The shares were valued at $</w:t>
      </w:r>
      <w:bookmarkStart w:id="489" w:name="xdx_90F_eus-gaap--SharePrice_iI_pid_c202"/>
      <w:bookmarkEnd w:id="489"/>
      <w:r>
        <w:rPr>
          <w:rFonts w:ascii="Times New Roman;Times;Serif" w:hAnsi="Times New Roman;Times;Serif"/>
          <w:b w:val="false"/>
          <w:i w:val="false"/>
          <w:caps w:val="false"/>
          <w:smallCaps w:val="false"/>
          <w:sz w:val="20"/>
        </w:rPr>
        <w:t>0.86 per share, representing the fair value on the grant date. The transaction was accounted for as equity-classified share-based compensation. Total expense recognized for these services was $</w:t>
      </w:r>
      <w:bookmarkStart w:id="490" w:name="xdx_907_eus-gaap--ShareBasedCompensation"/>
      <w:bookmarkEnd w:id="490"/>
      <w:r>
        <w:rPr>
          <w:rFonts w:ascii="Times New Roman;Times;Serif" w:hAnsi="Times New Roman;Times;Serif"/>
          <w:b w:val="false"/>
          <w:i w:val="false"/>
          <w:caps w:val="false"/>
          <w:smallCaps w:val="false"/>
          <w:sz w:val="20"/>
        </w:rPr>
        <w:t>42,755, which is included in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the shareholders, by a special resolution, approved the increase of authorised share capital of the Company from US$</w:t>
      </w:r>
      <w:bookmarkStart w:id="491" w:name="xdx_90C_eus-gaap--CommonStockValueOutsta"/>
      <w:bookmarkEnd w:id="491"/>
      <w:r>
        <w:rPr>
          <w:rFonts w:ascii="Times New Roman;Times;Serif" w:hAnsi="Times New Roman;Times;Serif"/>
          <w:b w:val="false"/>
          <w:i w:val="false"/>
          <w:caps w:val="false"/>
          <w:smallCaps w:val="false"/>
          <w:sz w:val="20"/>
        </w:rPr>
        <w:t xml:space="preserve">50,000 divided into </w:t>
      </w:r>
      <w:bookmarkStart w:id="492" w:name="xdx_90B_eus-gaap--CommonStockSharesAutho"/>
      <w:bookmarkEnd w:id="492"/>
      <w:r>
        <w:rPr>
          <w:rFonts w:ascii="Times New Roman;Times;Serif" w:hAnsi="Times New Roman;Times;Serif"/>
          <w:b w:val="false"/>
          <w:i w:val="false"/>
          <w:caps w:val="false"/>
          <w:smallCaps w:val="false"/>
          <w:sz w:val="20"/>
        </w:rPr>
        <w:t>450,000,000 Class A Ordinary Shares of US$</w:t>
      </w:r>
      <w:bookmarkStart w:id="493" w:name="xdx_900_eus-gaap--CommonStockParOrStated"/>
      <w:bookmarkEnd w:id="493"/>
      <w:r>
        <w:rPr>
          <w:rFonts w:ascii="Times New Roman;Times;Serif" w:hAnsi="Times New Roman;Times;Serif"/>
          <w:b w:val="false"/>
          <w:i w:val="false"/>
          <w:caps w:val="false"/>
          <w:smallCaps w:val="false"/>
          <w:sz w:val="20"/>
        </w:rPr>
        <w:t xml:space="preserve">0.0001 each and </w:t>
      </w:r>
      <w:bookmarkStart w:id="494" w:name="xdx_90F_eus-gaap--CommonStockSharesAutho"/>
      <w:bookmarkEnd w:id="494"/>
      <w:r>
        <w:rPr>
          <w:rFonts w:ascii="Times New Roman;Times;Serif" w:hAnsi="Times New Roman;Times;Serif"/>
          <w:b w:val="false"/>
          <w:i w:val="false"/>
          <w:caps w:val="false"/>
          <w:smallCaps w:val="false"/>
          <w:sz w:val="20"/>
        </w:rPr>
        <w:t>50,000,000 Class B Ordinary Shares of US$</w:t>
      </w:r>
      <w:bookmarkStart w:id="495" w:name="xdx_90E_eus-gaap--CommonStockParOrStated"/>
      <w:bookmarkEnd w:id="495"/>
      <w:r>
        <w:rPr>
          <w:rFonts w:ascii="Times New Roman;Times;Serif" w:hAnsi="Times New Roman;Times;Serif"/>
          <w:b w:val="false"/>
          <w:i w:val="false"/>
          <w:caps w:val="false"/>
          <w:smallCaps w:val="false"/>
          <w:sz w:val="20"/>
        </w:rPr>
        <w:t>0.0001 each to US$</w:t>
      </w:r>
      <w:bookmarkStart w:id="496" w:name="xdx_90B_eus-gaap--CommonStockValueOutsta"/>
      <w:bookmarkEnd w:id="496"/>
      <w:r>
        <w:rPr>
          <w:rFonts w:ascii="Times New Roman;Times;Serif" w:hAnsi="Times New Roman;Times;Serif"/>
          <w:b w:val="false"/>
          <w:i w:val="false"/>
          <w:caps w:val="false"/>
          <w:smallCaps w:val="false"/>
          <w:sz w:val="20"/>
        </w:rPr>
        <w:t xml:space="preserve">500,000 divided into </w:t>
      </w:r>
      <w:bookmarkStart w:id="497" w:name="xdx_90B_eus-gaap--CommonStockSharesAutho"/>
      <w:bookmarkEnd w:id="497"/>
      <w:r>
        <w:rPr>
          <w:rFonts w:ascii="Times New Roman;Times;Serif" w:hAnsi="Times New Roman;Times;Serif"/>
          <w:b w:val="false"/>
          <w:i w:val="false"/>
          <w:caps w:val="false"/>
          <w:smallCaps w:val="false"/>
          <w:sz w:val="20"/>
        </w:rPr>
        <w:t>4,500,000,000 Class A Ordinary Shares of US$</w:t>
      </w:r>
      <w:bookmarkStart w:id="498" w:name="xdx_906_eus-gaap--CommonStockParOrStated"/>
      <w:bookmarkEnd w:id="498"/>
      <w:r>
        <w:rPr>
          <w:rFonts w:ascii="Times New Roman;Times;Serif" w:hAnsi="Times New Roman;Times;Serif"/>
          <w:b w:val="false"/>
          <w:i w:val="false"/>
          <w:caps w:val="false"/>
          <w:smallCaps w:val="false"/>
          <w:sz w:val="20"/>
        </w:rPr>
        <w:t xml:space="preserve">0.0001 each and </w:t>
      </w:r>
      <w:bookmarkStart w:id="499" w:name="xdx_901_eus-gaap--CommonStockSharesAutho"/>
      <w:bookmarkEnd w:id="499"/>
      <w:r>
        <w:rPr>
          <w:rFonts w:ascii="Times New Roman;Times;Serif" w:hAnsi="Times New Roman;Times;Serif"/>
          <w:b w:val="false"/>
          <w:i w:val="false"/>
          <w:caps w:val="false"/>
          <w:smallCaps w:val="false"/>
          <w:sz w:val="20"/>
        </w:rPr>
        <w:t>500,000,000 Class B Ordinary Shares of US$</w:t>
      </w:r>
      <w:bookmarkStart w:id="500" w:name="xdx_901_eus-gaap--CommonStockParOrStated"/>
      <w:bookmarkEnd w:id="500"/>
      <w:r>
        <w:rPr>
          <w:rFonts w:ascii="Times New Roman;Times;Serif" w:hAnsi="Times New Roman;Times;Serif"/>
          <w:b w:val="false"/>
          <w:i w:val="false"/>
          <w:caps w:val="false"/>
          <w:smallCaps w:val="false"/>
          <w:sz w:val="20"/>
        </w:rPr>
        <w:t xml:space="preserve">0.0001 each by the creation of an additional </w:t>
      </w:r>
      <w:bookmarkStart w:id="501" w:name="xdx_906_eus-gaap--StockholdersEquityOthe"/>
      <w:bookmarkEnd w:id="501"/>
      <w:r>
        <w:rPr>
          <w:rFonts w:ascii="Times New Roman;Times;Serif" w:hAnsi="Times New Roman;Times;Serif"/>
          <w:b w:val="false"/>
          <w:i w:val="false"/>
          <w:caps w:val="false"/>
          <w:smallCaps w:val="false"/>
          <w:sz w:val="20"/>
        </w:rPr>
        <w:t xml:space="preserve">4,050,000,000 Class A Ordinary Shares and </w:t>
      </w:r>
      <w:bookmarkStart w:id="502" w:name="xdx_900_eus-gaap--StockholdersEquityOthe"/>
      <w:bookmarkEnd w:id="502"/>
      <w:r>
        <w:rPr>
          <w:rFonts w:ascii="Times New Roman;Times;Serif" w:hAnsi="Times New Roman;Times;Serif"/>
          <w:b w:val="false"/>
          <w:i w:val="false"/>
          <w:caps w:val="false"/>
          <w:smallCaps w:val="false"/>
          <w:sz w:val="20"/>
        </w:rPr>
        <w:t>450,000,000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paid-in capital constitute the capital transactions from shareholders that affected the shareholders’ equity of Uni-Fuels prior to the Reorganization during the year ended December 31, 2023. On June 6, 2023, Uni-Fuels issued and allotted additional </w:t>
      </w:r>
      <w:bookmarkStart w:id="503" w:name="xdx_90B_eus-gaap--StockIssuedDuringPerio"/>
      <w:bookmarkEnd w:id="503"/>
      <w:r>
        <w:rPr>
          <w:rFonts w:ascii="Times New Roman;Times;Serif" w:hAnsi="Times New Roman;Times;Serif"/>
          <w:b w:val="false"/>
          <w:i w:val="false"/>
          <w:caps w:val="false"/>
          <w:smallCaps w:val="false"/>
          <w:sz w:val="20"/>
        </w:rPr>
        <w:t>3,899,999 ordinary shares, each with a par value of $</w:t>
      </w:r>
      <w:bookmarkStart w:id="504" w:name="xdx_90E_eus-gaap--CommonStockParOrStated"/>
      <w:bookmarkEnd w:id="504"/>
      <w:r>
        <w:rPr>
          <w:rFonts w:ascii="Times New Roman;Times;Serif" w:hAnsi="Times New Roman;Times;Serif"/>
          <w:b w:val="false"/>
          <w:i w:val="false"/>
          <w:caps w:val="false"/>
          <w:smallCaps w:val="false"/>
          <w:sz w:val="20"/>
        </w:rPr>
        <w:t>1, amounting to a total of $</w:t>
      </w:r>
      <w:bookmarkStart w:id="505" w:name="xdx_90E_eus-gaap--ProceedsFromContribute"/>
      <w:bookmarkEnd w:id="505"/>
      <w:r>
        <w:rPr>
          <w:rFonts w:ascii="Times New Roman;Times;Serif" w:hAnsi="Times New Roman;Times;Serif"/>
          <w:b w:val="false"/>
          <w:i w:val="false"/>
          <w:caps w:val="false"/>
          <w:smallCaps w:val="false"/>
          <w:sz w:val="20"/>
        </w:rPr>
        <w:t>3,899,999. From the total consideration of $</w:t>
      </w:r>
      <w:bookmarkStart w:id="506" w:name="xdx_90E_eus-gaap--ProceedsFromContribute"/>
      <w:bookmarkEnd w:id="506"/>
      <w:r>
        <w:rPr>
          <w:rFonts w:ascii="Times New Roman;Times;Serif" w:hAnsi="Times New Roman;Times;Serif"/>
          <w:b w:val="false"/>
          <w:i w:val="false"/>
          <w:caps w:val="false"/>
          <w:smallCaps w:val="false"/>
          <w:sz w:val="20"/>
        </w:rPr>
        <w:t>3,899,999 derived from this share allotment, $</w:t>
      </w:r>
      <w:bookmarkStart w:id="507" w:name="xdx_90D_eus-gaap--DividendsCommonStock_c"/>
      <w:bookmarkEnd w:id="507"/>
      <w:r>
        <w:rPr>
          <w:rFonts w:ascii="Times New Roman;Times;Serif" w:hAnsi="Times New Roman;Times;Serif"/>
          <w:b w:val="false"/>
          <w:i w:val="false"/>
          <w:caps w:val="false"/>
          <w:smallCaps w:val="false"/>
          <w:sz w:val="20"/>
        </w:rPr>
        <w:t>3,099,999 was offset by netting against the dividend distribution of $</w:t>
      </w:r>
      <w:bookmarkStart w:id="508" w:name="xdx_90D_eus-gaap--DividendsCommonStock_c"/>
      <w:bookmarkEnd w:id="508"/>
      <w:r>
        <w:rPr>
          <w:rFonts w:ascii="Times New Roman;Times;Serif" w:hAnsi="Times New Roman;Times;Serif"/>
          <w:b w:val="false"/>
          <w:i w:val="false"/>
          <w:caps w:val="false"/>
          <w:smallCaps w:val="false"/>
          <w:sz w:val="20"/>
        </w:rPr>
        <w:t>3,099,999 made by Uni-Fuels to its shareholder at that time. Meanwhile, the remaining balance of $</w:t>
      </w:r>
      <w:bookmarkStart w:id="509" w:name="xdx_90C_eus-gaap--ProceedsFromIssuanceOf"/>
      <w:bookmarkEnd w:id="509"/>
      <w:r>
        <w:rPr>
          <w:rFonts w:ascii="Times New Roman;Times;Serif" w:hAnsi="Times New Roman;Times;Serif"/>
          <w:b w:val="false"/>
          <w:i w:val="false"/>
          <w:caps w:val="false"/>
          <w:smallCaps w:val="false"/>
          <w:sz w:val="20"/>
        </w:rPr>
        <w:t>800,000 was received in cash from the shareholder. The whole balance of $</w:t>
      </w:r>
      <w:bookmarkStart w:id="510" w:name="xdx_907_eus-gaap--ProceedsFromContribute"/>
      <w:bookmarkEnd w:id="510"/>
      <w:r>
        <w:rPr>
          <w:rFonts w:ascii="Times New Roman;Times;Serif" w:hAnsi="Times New Roman;Times;Serif"/>
          <w:b w:val="false"/>
          <w:i w:val="false"/>
          <w:caps w:val="false"/>
          <w:smallCaps w:val="false"/>
          <w:sz w:val="20"/>
        </w:rPr>
        <w:t>3,899,999 has been accounted for as capital contribution from shareholder in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Accumulated other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accumulated other comprehensive income comprises foreign currency differences arising from the translation of the financial statements of foreign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1" w:name="xdx_809_eus-gaap--IncomeTaxDisclosureTex"/>
      <w:bookmarkEnd w:id="511"/>
      <w:r>
        <w:rPr>
          <w:rFonts w:ascii="Times New Roman;Times;Serif" w:hAnsi="Times New Roman;Times;Serif"/>
          <w:b/>
          <w:i w:val="false"/>
          <w:caps w:val="false"/>
          <w:smallCaps w:val="false"/>
          <w:sz w:val="20"/>
        </w:rPr>
        <w:t xml:space="preserve">11. </w:t>
      </w:r>
      <w:bookmarkStart w:id="512" w:name="xdx_827_zZKHCzM7sQd6"/>
      <w:bookmarkEnd w:id="512"/>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and applicable laws of Cayman Islands, the Group is not subject to tax on income or capital gains under this jurisdiction. The Group’s income taxes relate primarily to its operations in Singapore. For the six month ended June 30, 2026 and 2025, the income tax expense, deferred tax assets, and deferred tax liabilities associated with the Group’s other subsidiaries were not material to the consolidated financial statements, either individually or in the aggregate. However, losses incurred by certain foreign subsidiaries did not give rise to recognized tax benefits, and the resulting unrecognized tax benefits are reflected in the effective tax rate reconciliation.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Uni-Fuels is incorporated in Singapore and is subject to Singapore Corporate Income Tax on the taxable income as reported in their respective statutory financial statements, adjusted in accordance with relevant Singapore tax laws. For the six months ended June 30, 2026 and 2025, Uni-Fuels was eligible for the partial tax exemption scheme introduced under Section 43 of the Income Tax Act 1947 of Singapore. For eligible entities under the partial tax exemption scheme, a </w:t>
      </w:r>
      <w:bookmarkStart w:id="513" w:name="xdx_90D_ecustom--PercentageOfTaxExemptio"/>
      <w:bookmarkStart w:id="514" w:name="xdx_903_ecustom--PercentageOfTaxExemptio"/>
      <w:bookmarkEnd w:id="513"/>
      <w:bookmarkEnd w:id="514"/>
      <w:r>
        <w:rPr>
          <w:rFonts w:ascii="Times New Roman;Times;Serif" w:hAnsi="Times New Roman;Times;Serif"/>
          <w:b w:val="false"/>
          <w:i w:val="false"/>
          <w:caps w:val="false"/>
          <w:smallCaps w:val="false"/>
          <w:sz w:val="20"/>
        </w:rPr>
        <w:t>75% exemption on the first SG$</w:t>
      </w:r>
      <w:bookmarkStart w:id="515" w:name="xdx_90B_eus-gaap--IncomeTaxReconciliatio"/>
      <w:bookmarkStart w:id="516" w:name="xdx_904_eus-gaap--IncomeTaxReconciliatio"/>
      <w:bookmarkEnd w:id="515"/>
      <w:bookmarkEnd w:id="516"/>
      <w:r>
        <w:rPr>
          <w:rFonts w:ascii="Times New Roman;Times;Serif" w:hAnsi="Times New Roman;Times;Serif"/>
          <w:b w:val="false"/>
          <w:i w:val="false"/>
          <w:caps w:val="false"/>
          <w:smallCaps w:val="false"/>
          <w:sz w:val="20"/>
        </w:rPr>
        <w:t>10,000 (equivalent to $</w:t>
      </w:r>
      <w:bookmarkStart w:id="517" w:name="xdx_902_eus-gaap--IncomeTaxReconciliatio"/>
      <w:bookmarkStart w:id="518" w:name="xdx_903_eus-gaap--IncomeTaxReconciliatio"/>
      <w:bookmarkEnd w:id="517"/>
      <w:bookmarkEnd w:id="518"/>
      <w:r>
        <w:rPr>
          <w:rFonts w:ascii="Times New Roman;Times;Serif" w:hAnsi="Times New Roman;Times;Serif"/>
          <w:b w:val="false"/>
          <w:i w:val="false"/>
          <w:caps w:val="false"/>
          <w:smallCaps w:val="false"/>
          <w:sz w:val="20"/>
        </w:rPr>
        <w:t xml:space="preserve">7,839) of normal chargeable income and a further </w:t>
      </w:r>
      <w:bookmarkStart w:id="519" w:name="xdx_90C_ecustom--PercentageOfTaxExemptio"/>
      <w:bookmarkStart w:id="520" w:name="xdx_904_ecustom--PercentageOfTaxExemptio"/>
      <w:bookmarkEnd w:id="519"/>
      <w:bookmarkEnd w:id="520"/>
      <w:r>
        <w:rPr>
          <w:rFonts w:ascii="Times New Roman;Times;Serif" w:hAnsi="Times New Roman;Times;Serif"/>
          <w:b w:val="false"/>
          <w:i w:val="false"/>
          <w:caps w:val="false"/>
          <w:smallCaps w:val="false"/>
          <w:sz w:val="20"/>
        </w:rPr>
        <w:t>50% exemption on the next SG$</w:t>
      </w:r>
      <w:bookmarkStart w:id="521" w:name="xdx_904_eus-gaap--IncomeTaxReconciliatio"/>
      <w:bookmarkStart w:id="522" w:name="xdx_909_eus-gaap--IncomeTaxReconciliatio"/>
      <w:bookmarkEnd w:id="521"/>
      <w:bookmarkEnd w:id="522"/>
      <w:r>
        <w:rPr>
          <w:rFonts w:ascii="Times New Roman;Times;Serif" w:hAnsi="Times New Roman;Times;Serif"/>
          <w:b w:val="false"/>
          <w:i w:val="false"/>
          <w:caps w:val="false"/>
          <w:smallCaps w:val="false"/>
          <w:sz w:val="20"/>
        </w:rPr>
        <w:t>100,000 (equivalent to $</w:t>
      </w:r>
      <w:bookmarkStart w:id="523" w:name="xdx_909_eus-gaap--IncomeTaxReconciliatio"/>
      <w:bookmarkStart w:id="524" w:name="xdx_906_eus-gaap--IncomeTaxReconciliatio"/>
      <w:bookmarkEnd w:id="523"/>
      <w:bookmarkEnd w:id="524"/>
      <w:r>
        <w:rPr>
          <w:rFonts w:ascii="Times New Roman;Times;Serif" w:hAnsi="Times New Roman;Times;Serif"/>
          <w:b w:val="false"/>
          <w:i w:val="false"/>
          <w:caps w:val="false"/>
          <w:smallCaps w:val="false"/>
          <w:sz w:val="20"/>
        </w:rPr>
        <w:t xml:space="preserve">78,394) of normal chargeable income were granted. For any other entities, the applicable income tax rate is </w:t>
      </w:r>
      <w:bookmarkStart w:id="525" w:name="xdx_903_eus-gaap--EffectiveIncomeTaxRate"/>
      <w:bookmarkEnd w:id="525"/>
      <w:r>
        <w:rPr>
          <w:rFonts w:ascii="Times New Roman;Times;Serif" w:hAnsi="Times New Roman;Times;Serif"/>
          <w:b w:val="false"/>
          <w:i w:val="false"/>
          <w:caps w:val="false"/>
          <w:smallCaps w:val="false"/>
          <w:sz w:val="20"/>
        </w:rPr>
        <w:t>17% on the entire chargeable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6" w:name="xdx_89A_eus-gaap--ScheduleOfComponentsOf"/>
      <w:bookmarkEnd w:id="526"/>
      <w:r>
        <w:rPr>
          <w:rFonts w:ascii="Times New Roman;Times;Serif" w:hAnsi="Times New Roman;Times;Serif"/>
          <w:b w:val="false"/>
          <w:i w:val="false"/>
          <w:caps w:val="false"/>
          <w:smallCaps w:val="false"/>
          <w:sz w:val="20"/>
        </w:rPr>
        <w:t>The current and deferred portions of the income tax expense included in the unaudited condensed consolidated statements of income and comprehensive income as determined in accordance with ASC 740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7" w:name="xdx_8B6_z3vWTLA7vzS1"/>
      <w:bookmarkEnd w:id="527"/>
      <w:r>
        <w:rPr>
          <w:rFonts w:ascii="Times New Roman;Times;Serif" w:hAnsi="Times New Roman;Times;Serif"/>
          <w:b w:val="false"/>
          <w:i w:val="false"/>
          <w:caps w:val="false"/>
          <w:smallCaps w:val="false"/>
          <w:sz w:val="20"/>
        </w:rPr>
        <w:t>Schedule of Current and Deferred Portions of the Income Tax Expense </w:t>
      </w:r>
    </w:p>
    <w:tbl>
      <w:tblPr>
        <w:tblW w:w="4675" w:type="dxa"/>
        <w:jc w:val="left"/>
        <w:tblInd w:w="0" w:type="dxa"/>
        <w:tblLayout w:type="fixed"/>
        <w:tblCellMar>
          <w:top w:w="0" w:type="dxa"/>
          <w:left w:w="0" w:type="dxa"/>
          <w:bottom w:w="0" w:type="dxa"/>
          <w:right w:w="0" w:type="dxa"/>
        </w:tblCellMar>
      </w:tblPr>
      <w:tblGrid>
        <w:gridCol w:w="1910"/>
        <w:gridCol w:w="60"/>
        <w:gridCol w:w="186"/>
        <w:gridCol w:w="1063"/>
        <w:gridCol w:w="66"/>
        <w:gridCol w:w="66"/>
        <w:gridCol w:w="186"/>
        <w:gridCol w:w="1063"/>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8" w:name="xdx_497_20260101__20260630_zjm6y716gWt6"/>
            <w:bookmarkEnd w:id="528"/>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529" w:name="xdx_498_20250101__20250630_zM9K5Xm7EAr4"/>
            <w:bookmarkEnd w:id="529"/>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530" w:name="xdx_401_eus-gaap--CurrentIncomeTaxExpens"/>
            <w:bookmarkEnd w:id="530"/>
          </w:p>
        </w:tc>
      </w:tr>
      <w:tr>
        <w:trPr/>
        <w:tc>
          <w:tcPr>
            <w:tcW w:w="1910" w:type="dxa"/>
            <w:tcBorders/>
            <w:shd w:fill="CCEEFF" w:val="clear"/>
            <w:vAlign w:val="center"/>
          </w:tcPr>
          <w:p>
            <w:pPr>
              <w:pStyle w:val="TableContents"/>
              <w:bidi w:val="0"/>
              <w:spacing w:before="0" w:after="283"/>
              <w:jc w:val="left"/>
              <w:rPr/>
            </w:pPr>
            <w:r>
              <w:rPr/>
              <w:t>Current taxes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513,209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107,490</w:t>
            </w:r>
          </w:p>
        </w:tc>
        <w:tc>
          <w:tcPr>
            <w:tcW w:w="75" w:type="dxa"/>
            <w:tcBorders/>
            <w:shd w:fill="CCEEFF" w:val="clear"/>
            <w:vAlign w:val="center"/>
          </w:tcPr>
          <w:p>
            <w:pPr>
              <w:pStyle w:val="TableContents"/>
              <w:bidi w:val="0"/>
              <w:spacing w:before="0" w:after="283"/>
              <w:jc w:val="left"/>
              <w:rPr/>
            </w:pPr>
            <w:r>
              <w:rPr/>
              <w:t> </w:t>
            </w:r>
            <w:bookmarkStart w:id="531" w:name="xdx_400_eus-gaap--DeferredIncomeTaxExpen"/>
            <w:bookmarkEnd w:id="531"/>
          </w:p>
        </w:tc>
      </w:tr>
      <w:tr>
        <w:trPr/>
        <w:tc>
          <w:tcPr>
            <w:tcW w:w="1910"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32" w:name="xdx_40B_eus-gaap--IncomeTaxExpenseBenefi"/>
            <w:bookmarkEnd w:id="532"/>
          </w:p>
        </w:tc>
      </w:tr>
      <w:tr>
        <w:trPr/>
        <w:tc>
          <w:tcPr>
            <w:tcW w:w="19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pPr>
            <w:r>
              <w:rPr/>
              <w:t>513,209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pPr>
            <w:r>
              <w:rPr/>
              <w:t>107,490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3" w:name="xdx_8AB_zZ2ldxdr9tu5"/>
      <w:bookmarkEnd w:id="5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4" w:name="xdx_895_eus-gaap--ScheduleOfEffectiveInc"/>
      <w:bookmarkEnd w:id="534"/>
      <w:r>
        <w:rPr>
          <w:rFonts w:ascii="Times New Roman;Times;Serif" w:hAnsi="Times New Roman;Times;Serif"/>
          <w:b w:val="false"/>
          <w:i w:val="false"/>
          <w:caps w:val="false"/>
          <w:smallCaps w:val="false"/>
          <w:sz w:val="20"/>
        </w:rPr>
        <w:t xml:space="preserve">A reconciliation of the difference between the expected income tax expense computed at Singapore income tax rate of </w:t>
      </w:r>
      <w:bookmarkStart w:id="535" w:name="xdx_908_eus-gaap--EffectiveIncomeTaxRate"/>
      <w:bookmarkEnd w:id="535"/>
      <w:r>
        <w:rPr>
          <w:rFonts w:ascii="Times New Roman;Times;Serif" w:hAnsi="Times New Roman;Times;Serif"/>
          <w:b w:val="false"/>
          <w:i w:val="false"/>
          <w:caps w:val="false"/>
          <w:smallCaps w:val="false"/>
          <w:sz w:val="20"/>
        </w:rPr>
        <w:t>17% and the Group’s reported income tax expense is shown in the following table:</w:t>
      </w:r>
    </w:p>
    <w:p>
      <w:pPr>
        <w:pStyle w:val="TextBody"/>
        <w:bidi w:val="0"/>
        <w:spacing w:before="0" w:after="0"/>
        <w:ind w:left="0" w:right="0" w:hanging="0"/>
        <w:jc w:val="both"/>
        <w:rPr>
          <w:caps w:val="false"/>
          <w:smallCaps w:val="false"/>
        </w:rPr>
      </w:pPr>
      <w:r>
        <w:rPr>
          <w:caps w:val="false"/>
          <w:smallCaps w:val="false"/>
        </w:rPr>
        <w:t> </w:t>
      </w:r>
      <w:bookmarkStart w:id="536" w:name="xdx_8BB_zhxcSpbJyPQg"/>
      <w:bookmarkEnd w:id="536"/>
      <w:r>
        <w:rPr>
          <w:rFonts w:ascii="Times New Roman;Times;Serif" w:hAnsi="Times New Roman;Times;Serif"/>
          <w:b w:val="false"/>
          <w:i w:val="false"/>
          <w:caps w:val="false"/>
          <w:smallCaps w:val="false"/>
          <w:sz w:val="20"/>
        </w:rPr>
        <w:t>Schedule of Reconciliation of Difference between Expected Income Tax Expense</w:t>
      </w:r>
    </w:p>
    <w:tbl>
      <w:tblPr>
        <w:tblW w:w="8048" w:type="dxa"/>
        <w:jc w:val="left"/>
        <w:tblInd w:w="0" w:type="dxa"/>
        <w:tblLayout w:type="fixed"/>
        <w:tblCellMar>
          <w:top w:w="0" w:type="dxa"/>
          <w:left w:w="0" w:type="dxa"/>
          <w:bottom w:w="0" w:type="dxa"/>
          <w:right w:w="0" w:type="dxa"/>
        </w:tblCellMar>
      </w:tblPr>
      <w:tblGrid>
        <w:gridCol w:w="4985"/>
        <w:gridCol w:w="60"/>
        <w:gridCol w:w="155"/>
        <w:gridCol w:w="1094"/>
        <w:gridCol w:w="215"/>
        <w:gridCol w:w="60"/>
        <w:gridCol w:w="186"/>
        <w:gridCol w:w="1063"/>
        <w:gridCol w:w="23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7" w:name="xdx_490_20260101__20260630_zOAKrHLU0kS"/>
            <w:bookmarkEnd w:id="537"/>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8" w:name="xdx_499_20250101__20250630_zShatk8aBoqg"/>
            <w:bookmarkEnd w:id="538"/>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jc w:val="left"/>
              <w:rPr/>
            </w:pPr>
            <w:r>
              <w:rPr/>
              <w:t> </w:t>
            </w:r>
            <w:bookmarkStart w:id="539" w:name="xdx_40A_eus-gaap--IncomeLossFromContinui"/>
            <w:bookmarkEnd w:id="539"/>
          </w:p>
        </w:tc>
      </w:tr>
      <w:tr>
        <w:trPr/>
        <w:tc>
          <w:tcPr>
            <w:tcW w:w="4985" w:type="dxa"/>
            <w:tcBorders/>
            <w:shd w:fill="CCEEFF" w:val="clear"/>
            <w:vAlign w:val="center"/>
          </w:tcPr>
          <w:p>
            <w:pPr>
              <w:pStyle w:val="TableContents"/>
              <w:bidi w:val="0"/>
              <w:spacing w:before="0" w:after="283"/>
              <w:jc w:val="left"/>
              <w:rPr/>
            </w:pPr>
            <w:r>
              <w:rPr/>
              <w:t>Income before income tax expense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1,891,413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198,477</w:t>
            </w:r>
          </w:p>
        </w:tc>
        <w:tc>
          <w:tcPr>
            <w:tcW w:w="230" w:type="dxa"/>
            <w:tcBorders/>
            <w:shd w:fill="CCEEFF" w:val="clear"/>
            <w:vAlign w:val="center"/>
          </w:tcPr>
          <w:p>
            <w:pPr>
              <w:pStyle w:val="TableContents"/>
              <w:bidi w:val="0"/>
              <w:spacing w:before="0" w:after="283"/>
              <w:jc w:val="left"/>
              <w:rPr/>
            </w:pPr>
            <w:r>
              <w:rPr/>
              <w:t> </w:t>
            </w:r>
            <w:bookmarkStart w:id="540" w:name="xdx_403_eus-gaap--EffectiveIncomeTaxRate"/>
            <w:bookmarkEnd w:id="540"/>
          </w:p>
        </w:tc>
      </w:tr>
      <w:tr>
        <w:trPr/>
        <w:tc>
          <w:tcPr>
            <w:tcW w:w="4985" w:type="dxa"/>
            <w:tcBorders/>
            <w:shd w:fill="FFFFFF" w:val="clear"/>
            <w:vAlign w:val="center"/>
          </w:tcPr>
          <w:p>
            <w:pPr>
              <w:pStyle w:val="TableContents"/>
              <w:bidi w:val="0"/>
              <w:spacing w:before="0" w:after="283"/>
              <w:jc w:val="left"/>
              <w:rPr/>
            </w:pPr>
            <w:r>
              <w:rPr/>
              <w:t>Applicable income tax rate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17</w:t>
            </w:r>
          </w:p>
        </w:tc>
        <w:tc>
          <w:tcPr>
            <w:tcW w:w="230" w:type="dxa"/>
            <w:tcBorders/>
            <w:shd w:fill="FFFFFF" w:val="clear"/>
            <w:vAlign w:val="center"/>
          </w:tcPr>
          <w:p>
            <w:pPr>
              <w:pStyle w:val="TableContents"/>
              <w:bidi w:val="0"/>
              <w:spacing w:before="0" w:after="283"/>
              <w:jc w:val="left"/>
              <w:rPr/>
            </w:pPr>
            <w:r>
              <w:rPr/>
              <w:t>%</w:t>
            </w:r>
            <w:bookmarkStart w:id="541" w:name="xdx_401_eus-gaap--IncomeTaxReconciliatio"/>
            <w:bookmarkEnd w:id="541"/>
          </w:p>
        </w:tc>
      </w:tr>
      <w:tr>
        <w:trPr/>
        <w:tc>
          <w:tcPr>
            <w:tcW w:w="4985" w:type="dxa"/>
            <w:tcBorders/>
            <w:shd w:fill="CCEEFF" w:val="clear"/>
            <w:vAlign w:val="center"/>
          </w:tcPr>
          <w:p>
            <w:pPr>
              <w:pStyle w:val="TableContents"/>
              <w:bidi w:val="0"/>
              <w:spacing w:before="0" w:after="283"/>
              <w:jc w:val="left"/>
              <w:rPr/>
            </w:pPr>
            <w:r>
              <w:rPr/>
              <w:t>Income tax expense at applicable income tax rate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321,540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33,741</w:t>
            </w:r>
          </w:p>
        </w:tc>
        <w:tc>
          <w:tcPr>
            <w:tcW w:w="230" w:type="dxa"/>
            <w:tcBorders/>
            <w:shd w:fill="CCEEFF" w:val="clear"/>
            <w:vAlign w:val="center"/>
          </w:tcPr>
          <w:p>
            <w:pPr>
              <w:pStyle w:val="TableContents"/>
              <w:bidi w:val="0"/>
              <w:spacing w:before="0" w:after="283"/>
              <w:jc w:val="left"/>
              <w:rPr/>
            </w:pPr>
            <w:r>
              <w:rPr/>
              <w:t> </w:t>
            </w:r>
            <w:bookmarkStart w:id="542" w:name="xdx_40F_eus-gaap--IncomeTaxReconciliatio"/>
            <w:bookmarkEnd w:id="542"/>
          </w:p>
        </w:tc>
      </w:tr>
      <w:tr>
        <w:trPr/>
        <w:tc>
          <w:tcPr>
            <w:tcW w:w="4985"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29,821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24,716</w:t>
            </w:r>
          </w:p>
        </w:tc>
        <w:tc>
          <w:tcPr>
            <w:tcW w:w="230" w:type="dxa"/>
            <w:tcBorders/>
            <w:shd w:fill="FFFFFF" w:val="clear"/>
            <w:vAlign w:val="center"/>
          </w:tcPr>
          <w:p>
            <w:pPr>
              <w:pStyle w:val="TableContents"/>
              <w:bidi w:val="0"/>
              <w:spacing w:before="0" w:after="283"/>
              <w:jc w:val="left"/>
              <w:rPr/>
            </w:pPr>
            <w:r>
              <w:rPr/>
              <w:t> </w:t>
            </w:r>
            <w:bookmarkStart w:id="543" w:name="xdx_40D_ecustom--IncomeTaxReconciliation"/>
            <w:bookmarkEnd w:id="543"/>
          </w:p>
        </w:tc>
      </w:tr>
      <w:tr>
        <w:trPr/>
        <w:tc>
          <w:tcPr>
            <w:tcW w:w="4985" w:type="dxa"/>
            <w:tcBorders/>
            <w:shd w:fill="CCEEFF" w:val="clear"/>
            <w:vAlign w:val="center"/>
          </w:tcPr>
          <w:p>
            <w:pPr>
              <w:pStyle w:val="TableContents"/>
              <w:bidi w:val="0"/>
              <w:spacing w:before="0" w:after="283"/>
              <w:jc w:val="left"/>
              <w:rPr/>
            </w:pPr>
            <w:r>
              <w:rPr/>
              <w:t>Effect of tax exemption scheme and tax reduction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(18,321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(13,658</w:t>
            </w:r>
          </w:p>
        </w:tc>
        <w:tc>
          <w:tcPr>
            <w:tcW w:w="230" w:type="dxa"/>
            <w:tcBorders/>
            <w:shd w:fill="CCEEFF" w:val="clear"/>
            <w:vAlign w:val="center"/>
          </w:tcPr>
          <w:p>
            <w:pPr>
              <w:pStyle w:val="TableContents"/>
              <w:bidi w:val="0"/>
              <w:spacing w:before="0" w:after="283"/>
              <w:jc w:val="left"/>
              <w:rPr/>
            </w:pPr>
            <w:r>
              <w:rPr/>
              <w:t>)</w:t>
            </w:r>
            <w:bookmarkStart w:id="544" w:name="xdx_40B_eus-gaap--IncomeTaxReconciliatio"/>
            <w:bookmarkEnd w:id="544"/>
          </w:p>
        </w:tc>
      </w:tr>
      <w:tr>
        <w:trPr/>
        <w:tc>
          <w:tcPr>
            <w:tcW w:w="4985" w:type="dxa"/>
            <w:tcBorders/>
            <w:shd w:fill="FFFFFF" w:val="clear"/>
            <w:vAlign w:val="center"/>
          </w:tcPr>
          <w:p>
            <w:pPr>
              <w:pStyle w:val="TableContents"/>
              <w:bidi w:val="0"/>
              <w:spacing w:before="0" w:after="283"/>
              <w:jc w:val="left"/>
              <w:rPr/>
            </w:pPr>
            <w:r>
              <w:rPr/>
              <w:t>Effect of unrecognized tax benefits on foreign losses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180,169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pPr>
            <w:r>
              <w:rPr/>
              <w:t>62,691</w:t>
            </w:r>
          </w:p>
        </w:tc>
        <w:tc>
          <w:tcPr>
            <w:tcW w:w="230" w:type="dxa"/>
            <w:tcBorders/>
            <w:shd w:fill="FFFFFF" w:val="clear"/>
            <w:vAlign w:val="center"/>
          </w:tcPr>
          <w:p>
            <w:pPr>
              <w:pStyle w:val="TableContents"/>
              <w:bidi w:val="0"/>
              <w:spacing w:before="0" w:after="283"/>
              <w:jc w:val="left"/>
              <w:rPr/>
            </w:pPr>
            <w:r>
              <w:rPr/>
              <w:t> </w:t>
            </w:r>
            <w:bookmarkStart w:id="545" w:name="xdx_40E_eus-gaap--IncomeTaxExpenseBenefi"/>
            <w:bookmarkEnd w:id="545"/>
          </w:p>
        </w:tc>
      </w:tr>
      <w:tr>
        <w:trPr/>
        <w:tc>
          <w:tcPr>
            <w:tcW w:w="498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pPr>
            <w:r>
              <w:rPr/>
              <w:t>513,209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pPr>
            <w:r>
              <w:rPr/>
              <w:t>107,490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6" w:name="xdx_8AB_zZk425PEVQq1"/>
      <w:bookmarkEnd w:id="54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w:t>
      </w:r>
    </w:p>
    <w:p>
      <w:pPr>
        <w:pStyle w:val="TextBody"/>
        <w:bidi w:val="0"/>
        <w:spacing w:before="0" w:after="0"/>
        <w:ind w:left="0" w:right="0" w:firstLine="48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7" w:name="xdx_89D_eus-gaap--ScheduleOfDeferredTaxA"/>
      <w:bookmarkEnd w:id="547"/>
      <w:r>
        <w:rPr>
          <w:rFonts w:ascii="Times New Roman;Times;Serif" w:hAnsi="Times New Roman;Times;Serif"/>
          <w:b w:val="false"/>
          <w:i w:val="false"/>
          <w:caps w:val="false"/>
          <w:smallCaps w:val="false"/>
          <w:sz w:val="20"/>
        </w:rPr>
        <w:t>The Group measures deferred tax assets and liabilities based on the difference between the financial statement and tax bases of assets and liabilities at the applicable tax rates. Components of the Group’s deferred tax assets and liabilities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8" w:name="xdx_8B4_z343zyFFnq03"/>
      <w:bookmarkEnd w:id="548"/>
      <w:r>
        <w:rPr>
          <w:rFonts w:ascii="Times New Roman;Times;Serif" w:hAnsi="Times New Roman;Times;Serif"/>
          <w:b w:val="false"/>
          <w:i w:val="false"/>
          <w:caps w:val="false"/>
          <w:smallCaps w:val="false"/>
          <w:sz w:val="20"/>
        </w:rPr>
        <w:t>Schedule of Components of Deferred Tax Assets and Liabilities </w:t>
      </w:r>
    </w:p>
    <w:tbl>
      <w:tblPr>
        <w:tblW w:w="5873" w:type="dxa"/>
        <w:jc w:val="left"/>
        <w:tblInd w:w="0" w:type="dxa"/>
        <w:tblLayout w:type="fixed"/>
        <w:tblCellMar>
          <w:top w:w="0" w:type="dxa"/>
          <w:left w:w="0" w:type="dxa"/>
          <w:bottom w:w="0" w:type="dxa"/>
          <w:right w:w="0" w:type="dxa"/>
        </w:tblCellMar>
      </w:tblPr>
      <w:tblGrid>
        <w:gridCol w:w="2885"/>
        <w:gridCol w:w="60"/>
        <w:gridCol w:w="194"/>
        <w:gridCol w:w="1055"/>
        <w:gridCol w:w="95"/>
        <w:gridCol w:w="60"/>
        <w:gridCol w:w="221"/>
        <w:gridCol w:w="1193"/>
        <w:gridCol w:w="11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9" w:name="xdx_49B_20260630_znX4W6WY7qa"/>
            <w:bookmarkEnd w:id="549"/>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0" w:name="xdx_490_20251231_zYLwHOdnaUPk"/>
            <w:bookmarkEnd w:id="550"/>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(Audited)</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b/>
              </w:rPr>
            </w:pPr>
            <w:r>
              <w:rPr>
                <w:b/>
              </w:rPr>
              <w:t>Deferred tax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51" w:name="xdx_402_eus-gaap--DeferredTaxAssetsTaxDe"/>
            <w:bookmarkEnd w:id="551"/>
          </w:p>
        </w:tc>
      </w:tr>
      <w:tr>
        <w:trPr/>
        <w:tc>
          <w:tcPr>
            <w:tcW w:w="2885" w:type="dxa"/>
            <w:tcBorders/>
            <w:shd w:fill="FFFFFF" w:val="clear"/>
            <w:vAlign w:val="center"/>
          </w:tcPr>
          <w:p>
            <w:pPr>
              <w:pStyle w:val="TableContents"/>
              <w:bidi w:val="0"/>
              <w:spacing w:before="0" w:after="283"/>
              <w:jc w:val="left"/>
              <w:rPr/>
            </w:pPr>
            <w:r>
              <w:rPr/>
              <w:t>Allowance for credit loss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193" w:type="dxa"/>
            <w:tcBorders/>
            <w:shd w:fill="FFFFFF" w:val="clear"/>
            <w:vAlign w:val="center"/>
          </w:tcPr>
          <w:p>
            <w:pPr>
              <w:pStyle w:val="TableContents"/>
              <w:bidi w:val="0"/>
              <w:spacing w:before="0" w:after="283"/>
              <w:jc w:val="right"/>
              <w:rPr/>
            </w:pPr>
            <w:r>
              <w:rPr/>
              <w:t>2,065</w:t>
            </w:r>
          </w:p>
        </w:tc>
        <w:tc>
          <w:tcPr>
            <w:tcW w:w="110" w:type="dxa"/>
            <w:tcBorders/>
            <w:shd w:fill="FFFFFF" w:val="clear"/>
            <w:vAlign w:val="center"/>
          </w:tcPr>
          <w:p>
            <w:pPr>
              <w:pStyle w:val="TableContents"/>
              <w:bidi w:val="0"/>
              <w:spacing w:before="0" w:after="283"/>
              <w:jc w:val="left"/>
              <w:rPr/>
            </w:pPr>
            <w:r>
              <w:rPr/>
              <w:t> </w:t>
            </w:r>
            <w:bookmarkStart w:id="552" w:name="xdx_409_ecustom--DeferredTaxAssetOperati"/>
            <w:bookmarkEnd w:id="552"/>
          </w:p>
        </w:tc>
      </w:tr>
      <w:tr>
        <w:trPr/>
        <w:tc>
          <w:tcPr>
            <w:tcW w:w="288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6,538</w:t>
            </w:r>
          </w:p>
        </w:tc>
        <w:tc>
          <w:tcPr>
            <w:tcW w:w="110" w:type="dxa"/>
            <w:tcBorders/>
            <w:shd w:fill="CCEEFF" w:val="clear"/>
            <w:vAlign w:val="center"/>
          </w:tcPr>
          <w:p>
            <w:pPr>
              <w:pStyle w:val="TableContents"/>
              <w:bidi w:val="0"/>
              <w:spacing w:before="0" w:after="283"/>
              <w:jc w:val="left"/>
              <w:rPr/>
            </w:pPr>
            <w:r>
              <w:rPr/>
              <w:t> </w:t>
            </w:r>
            <w:bookmarkStart w:id="553" w:name="xdx_40A_eus-gaap--DeferredTaxAssetsOther"/>
            <w:bookmarkEnd w:id="553"/>
          </w:p>
        </w:tc>
      </w:tr>
      <w:tr>
        <w:trPr/>
        <w:tc>
          <w:tcPr>
            <w:tcW w:w="288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1,807</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54" w:name="xdx_40D_eus-gaap--DeferredTaxAssetsNet_i"/>
            <w:bookmarkEnd w:id="554"/>
          </w:p>
        </w:tc>
      </w:tr>
      <w:tr>
        <w:trPr/>
        <w:tc>
          <w:tcPr>
            <w:tcW w:w="288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10,410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10,410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b/>
              </w:rPr>
            </w:pPr>
            <w:r>
              <w:rPr>
                <w:b/>
              </w:rPr>
              <w:t>Deferred tax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5" w:name="xdx_401_eus-gaap--DeferredTaxLiabilities"/>
            <w:bookmarkEnd w:id="555"/>
          </w:p>
        </w:tc>
      </w:tr>
      <w:tr>
        <w:trPr/>
        <w:tc>
          <w:tcPr>
            <w:tcW w:w="288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(6,703</w:t>
            </w:r>
          </w:p>
        </w:tc>
        <w:tc>
          <w:tcPr>
            <w:tcW w:w="110" w:type="dxa"/>
            <w:tcBorders/>
            <w:shd w:fill="CCEEFF" w:val="clear"/>
            <w:vAlign w:val="center"/>
          </w:tcPr>
          <w:p>
            <w:pPr>
              <w:pStyle w:val="TableContents"/>
              <w:bidi w:val="0"/>
              <w:spacing w:before="0" w:after="283"/>
              <w:jc w:val="left"/>
              <w:rPr/>
            </w:pPr>
            <w:r>
              <w:rPr/>
              <w:t>)</w:t>
            </w:r>
            <w:bookmarkStart w:id="556" w:name="xdx_40F_ecustom--DeferredTaxLiabilitiesO"/>
            <w:bookmarkEnd w:id="556"/>
          </w:p>
        </w:tc>
      </w:tr>
      <w:tr>
        <w:trPr/>
        <w:tc>
          <w:tcPr>
            <w:tcW w:w="2885" w:type="dxa"/>
            <w:tcBorders/>
            <w:shd w:fill="FFFFFF" w:val="clear"/>
            <w:vAlign w:val="center"/>
          </w:tcPr>
          <w:p>
            <w:pPr>
              <w:pStyle w:val="TableContents"/>
              <w:bidi w:val="0"/>
              <w:spacing w:before="0" w:after="283"/>
              <w:jc w:val="left"/>
              <w:rPr/>
            </w:pPr>
            <w:r>
              <w:rPr/>
              <w:t>ROU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(5,799</w:t>
            </w:r>
          </w:p>
        </w:tc>
        <w:tc>
          <w:tcPr>
            <w:tcW w:w="110" w:type="dxa"/>
            <w:tcBorders/>
            <w:shd w:fill="FFFFFF" w:val="clear"/>
            <w:vAlign w:val="center"/>
          </w:tcPr>
          <w:p>
            <w:pPr>
              <w:pStyle w:val="TableContents"/>
              <w:bidi w:val="0"/>
              <w:spacing w:before="0" w:after="283"/>
              <w:jc w:val="left"/>
              <w:rPr/>
            </w:pPr>
            <w:r>
              <w:rPr/>
              <w:t>)</w:t>
            </w:r>
            <w:bookmarkStart w:id="557" w:name="xdx_408_eus-gaap--DeferredTaxLiabilities"/>
            <w:bookmarkEnd w:id="557"/>
          </w:p>
        </w:tc>
      </w:tr>
      <w:tr>
        <w:trPr/>
        <w:tc>
          <w:tcPr>
            <w:tcW w:w="288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pPr>
            <w:r>
              <w:rPr/>
              <w:t>(253</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8" w:name="xdx_40F_eus-gaap--DeferredIncomeTaxLiabi"/>
            <w:bookmarkEnd w:id="558"/>
          </w:p>
        </w:tc>
      </w:tr>
      <w:tr>
        <w:trPr/>
        <w:tc>
          <w:tcPr>
            <w:tcW w:w="2885"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(12,755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(12,755</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59" w:name="xdx_403_eus-gaap--DeferredTaxLiabilities"/>
            <w:bookmarkEnd w:id="559"/>
          </w:p>
        </w:tc>
      </w:tr>
      <w:tr>
        <w:trPr/>
        <w:tc>
          <w:tcPr>
            <w:tcW w:w="2885" w:type="dxa"/>
            <w:tcBorders/>
            <w:shd w:fill="CCEEFF" w:val="clear"/>
            <w:vAlign w:val="center"/>
          </w:tcPr>
          <w:p>
            <w:pPr>
              <w:pStyle w:val="TableContents"/>
              <w:bidi w:val="0"/>
              <w:spacing w:before="0" w:after="283"/>
              <w:jc w:val="left"/>
              <w:rPr>
                <w:b/>
              </w:rPr>
            </w:pPr>
            <w:r>
              <w:rPr>
                <w:b/>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(2,345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(2,345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60" w:name="xdx_8A7_zaeC2HFCDqye"/>
      <w:bookmarkEnd w:id="56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1" w:name="xdx_89D_ecustom--DeferredIncomeTaxLiabil"/>
      <w:bookmarkEnd w:id="561"/>
      <w:r>
        <w:rPr>
          <w:rFonts w:ascii="Times New Roman;Times;Serif" w:hAnsi="Times New Roman;Times;Serif"/>
          <w:b w:val="false"/>
          <w:i w:val="false"/>
          <w:caps w:val="false"/>
          <w:smallCaps w:val="false"/>
          <w:sz w:val="20"/>
        </w:rPr>
        <w:t>Movement of the Group’s deferred tax liabilities during the periods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62" w:name="xdx_8B0_zEZRxcyljFIa"/>
      <w:bookmarkEnd w:id="562"/>
      <w:r>
        <w:rPr>
          <w:rFonts w:ascii="Times New Roman;Times;Serif" w:hAnsi="Times New Roman;Times;Serif"/>
          <w:b w:val="false"/>
          <w:i w:val="false"/>
          <w:caps w:val="false"/>
          <w:smallCaps w:val="false"/>
          <w:sz w:val="20"/>
        </w:rPr>
        <w:t>Schedule of Movement of Deferred Tax (Liabilities) Assets </w:t>
      </w:r>
    </w:p>
    <w:tbl>
      <w:tblPr>
        <w:tblW w:w="10205" w:type="dxa"/>
        <w:jc w:val="left"/>
        <w:tblInd w:w="0" w:type="dxa"/>
        <w:tblLayout w:type="fixed"/>
        <w:tblCellMar>
          <w:top w:w="0" w:type="dxa"/>
          <w:left w:w="0" w:type="dxa"/>
          <w:bottom w:w="0" w:type="dxa"/>
          <w:right w:w="0" w:type="dxa"/>
        </w:tblCellMar>
      </w:tblPr>
      <w:tblGrid>
        <w:gridCol w:w="7386"/>
        <w:gridCol w:w="60"/>
        <w:gridCol w:w="221"/>
        <w:gridCol w:w="1008"/>
        <w:gridCol w:w="115"/>
        <w:gridCol w:w="72"/>
        <w:gridCol w:w="221"/>
        <w:gridCol w:w="1008"/>
        <w:gridCol w:w="114"/>
      </w:tblGrid>
      <w:tr>
        <w:trPr/>
        <w:tc>
          <w:tcPr>
            <w:tcW w:w="7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4" w:type="dxa"/>
            <w:tcBorders/>
            <w:vAlign w:val="center"/>
          </w:tcPr>
          <w:p>
            <w:pPr>
              <w:pStyle w:val="TableContents"/>
              <w:bidi w:val="0"/>
              <w:spacing w:before="0" w:after="283"/>
              <w:jc w:val="left"/>
              <w:rPr/>
            </w:pPr>
            <w:r>
              <w:rPr/>
              <w:t> </w:t>
            </w:r>
          </w:p>
        </w:tc>
      </w:tr>
      <w:tr>
        <w:trPr/>
        <w:tc>
          <w:tcPr>
            <w:tcW w:w="7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3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9" w:type="dxa"/>
            <w:gridSpan w:val="2"/>
            <w:tcBorders/>
            <w:vAlign w:val="center"/>
          </w:tcPr>
          <w:p>
            <w:pPr>
              <w:pStyle w:val="TableContents"/>
              <w:bidi w:val="0"/>
              <w:spacing w:before="0" w:after="283"/>
              <w:jc w:val="center"/>
              <w:rPr>
                <w:b/>
              </w:rPr>
            </w:pPr>
            <w:r>
              <w:rPr>
                <w:b/>
              </w:rPr>
              <w:t>(Unaudited)</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29" w:type="dxa"/>
            <w:gridSpan w:val="2"/>
            <w:tcBorders/>
            <w:vAlign w:val="center"/>
          </w:tcPr>
          <w:p>
            <w:pPr>
              <w:pStyle w:val="TableContents"/>
              <w:bidi w:val="0"/>
              <w:spacing w:before="0" w:after="283"/>
              <w:jc w:val="center"/>
              <w:rPr>
                <w:b/>
              </w:rPr>
            </w:pPr>
            <w:r>
              <w:rPr>
                <w:b/>
              </w:rPr>
              <w:t>(Unaudited)</w:t>
            </w:r>
          </w:p>
        </w:tc>
        <w:tc>
          <w:tcPr>
            <w:tcW w:w="114" w:type="dxa"/>
            <w:tcBorders/>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Beginning balance at January 1, 2026 and 2025</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bookmarkStart w:id="563" w:name="xdx_98C_ecustom--DeferredTaxAssetsLiabil"/>
            <w:bookmarkEnd w:id="563"/>
          </w:p>
        </w:tc>
        <w:tc>
          <w:tcPr>
            <w:tcW w:w="1008" w:type="dxa"/>
            <w:tcBorders/>
            <w:shd w:fill="CCEEFF" w:val="clear"/>
            <w:vAlign w:val="center"/>
          </w:tcPr>
          <w:p>
            <w:pPr>
              <w:pStyle w:val="TableContents"/>
              <w:bidi w:val="0"/>
              <w:spacing w:before="0" w:after="283"/>
              <w:jc w:val="right"/>
              <w:rPr/>
            </w:pPr>
            <w:r>
              <w:rPr/>
              <w:t>(2,345</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bookmarkStart w:id="564" w:name="xdx_989_ecustom--DeferredTaxAssetsLiabil"/>
            <w:bookmarkEnd w:id="564"/>
          </w:p>
        </w:tc>
        <w:tc>
          <w:tcPr>
            <w:tcW w:w="1008" w:type="dxa"/>
            <w:tcBorders/>
            <w:shd w:fill="CCEEFF" w:val="clear"/>
            <w:vAlign w:val="center"/>
          </w:tcPr>
          <w:p>
            <w:pPr>
              <w:pStyle w:val="TableContents"/>
              <w:bidi w:val="0"/>
              <w:spacing w:before="0" w:after="283"/>
              <w:jc w:val="right"/>
              <w:rPr/>
            </w:pPr>
            <w:r>
              <w:rPr/>
              <w:t>(8,243</w:t>
            </w:r>
          </w:p>
        </w:tc>
        <w:tc>
          <w:tcPr>
            <w:tcW w:w="114" w:type="dxa"/>
            <w:tcBorders/>
            <w:shd w:fill="CCEEFF" w:val="clear"/>
            <w:vAlign w:val="center"/>
          </w:tcPr>
          <w:p>
            <w:pPr>
              <w:pStyle w:val="TableContents"/>
              <w:bidi w:val="0"/>
              <w:spacing w:before="0" w:after="283"/>
              <w:jc w:val="left"/>
              <w:rPr/>
            </w:pPr>
            <w:r>
              <w:rPr/>
              <w:t>)</w:t>
            </w:r>
          </w:p>
        </w:tc>
      </w:tr>
      <w:tr>
        <w:trPr/>
        <w:tc>
          <w:tcPr>
            <w:tcW w:w="7386" w:type="dxa"/>
            <w:tcBorders/>
            <w:shd w:fill="FFFFFF" w:val="clear"/>
            <w:vAlign w:val="center"/>
          </w:tcPr>
          <w:p>
            <w:pPr>
              <w:pStyle w:val="TableContents"/>
              <w:bidi w:val="0"/>
              <w:spacing w:before="0" w:after="283"/>
              <w:jc w:val="left"/>
              <w:rPr/>
            </w:pPr>
            <w:r>
              <w:rPr/>
              <w:t>Credited to the unaudited condensed consolidated statements of income and comprehensive income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5" w:name="xdx_98A_eus-gaap--DeferredIncomeTaxExpen"/>
            <w:bookmarkEnd w:id="565"/>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6" w:name="xdx_98C_eus-gaap--DeferredIncomeTaxExpen"/>
            <w:bookmarkEnd w:id="566"/>
          </w:p>
        </w:tc>
        <w:tc>
          <w:tcPr>
            <w:tcW w:w="10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386" w:type="dxa"/>
            <w:tcBorders/>
            <w:shd w:fill="CCEEFF" w:val="clear"/>
            <w:vAlign w:val="center"/>
          </w:tcPr>
          <w:p>
            <w:pPr>
              <w:pStyle w:val="TableContents"/>
              <w:bidi w:val="0"/>
              <w:spacing w:before="0" w:after="283"/>
              <w:jc w:val="left"/>
              <w:rPr/>
            </w:pPr>
            <w:r>
              <w:rPr/>
              <w:t>Ending balance at June 30, 2026 and 2025</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67" w:name="xdx_98C_ecustom--DeferredTaxAssetsLiabil"/>
            <w:bookmarkEnd w:id="567"/>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(2,345</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68" w:name="xdx_987_ecustom--DeferredTaxAssetsLiabil"/>
            <w:bookmarkEnd w:id="568"/>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pPr>
            <w:r>
              <w:rPr/>
              <w:t>(8,243</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69" w:name="xdx_8A4_zmvsesU72f4k"/>
      <w:bookmarkEnd w:id="5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0" w:name="xdx_907_eus-gaap--IncomeTaxExaminationDe"/>
      <w:bookmarkEnd w:id="570"/>
      <w:r>
        <w:rPr>
          <w:rFonts w:ascii="Times New Roman;Times;Serif" w:hAnsi="Times New Roman;Times;Serif"/>
          <w:b w:val="false"/>
          <w:i w:val="false"/>
          <w:caps w:val="false"/>
          <w:smallCaps w:val="false"/>
          <w:sz w:val="20"/>
        </w:rPr>
        <w:t>Under relevant Singapore tax laws, tax cases are normally subject to investigation by the tax authority for up to 4 years of assessment prior to the current year of assessment for Corporate Income Tax, and 5 years from the end of the prescribed accounting period for Goods and Services Tax. As of June 30, 2026 and December 31, 2025, Corporate Income Tax returns for the years of assessment 2025 and 2026 remain open for statutory examination and the Group had no open tax investigations from the tax authority.</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1" w:name="xdx_809_eus-gaap--RelatedPartyTransactio"/>
      <w:bookmarkEnd w:id="571"/>
      <w:r>
        <w:rPr>
          <w:rFonts w:ascii="Times New Roman;Times;Serif" w:hAnsi="Times New Roman;Times;Serif"/>
          <w:b/>
          <w:i w:val="false"/>
          <w:caps w:val="false"/>
          <w:smallCaps w:val="false"/>
          <w:sz w:val="20"/>
        </w:rPr>
        <w:t xml:space="preserve">12. </w:t>
      </w:r>
      <w:bookmarkStart w:id="572" w:name="xdx_826_zCMmRX7zeTF4"/>
      <w:bookmarkEnd w:id="572"/>
      <w:r>
        <w:rPr>
          <w:rFonts w:ascii="Times New Roman;Times;Serif" w:hAnsi="Times New Roman;Times;Serif"/>
          <w:b/>
          <w:i w:val="false"/>
          <w:caps w:val="false"/>
          <w:smallCaps w:val="false"/>
          <w:sz w:val="20"/>
        </w:rPr>
        <w:t>Related Party Transaction and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573" w:name="xdx_899_ecustom--ScheduleOfNatureRelatio"/>
      <w:bookmarkEnd w:id="573"/>
      <w:r>
        <w:rPr>
          <w:rFonts w:ascii="Times New Roman;Times;Serif" w:hAnsi="Times New Roman;Times;Serif"/>
          <w:b w:val="false"/>
          <w:i/>
          <w:caps w:val="false"/>
          <w:smallCaps w:val="false"/>
          <w:sz w:val="20"/>
        </w:rPr>
        <w:t>a. Nature of relationships with related parties</w:t>
      </w:r>
    </w:p>
    <w:p>
      <w:pPr>
        <w:pStyle w:val="TextBody"/>
        <w:bidi w:val="0"/>
        <w:spacing w:before="0" w:after="0"/>
        <w:ind w:left="0" w:right="0" w:hanging="0"/>
        <w:jc w:val="left"/>
        <w:rPr>
          <w:caps w:val="false"/>
          <w:smallCaps w:val="false"/>
        </w:rPr>
      </w:pPr>
      <w:r>
        <w:rPr>
          <w:caps w:val="false"/>
          <w:smallCaps w:val="false"/>
        </w:rPr>
        <w:t> </w:t>
      </w:r>
      <w:bookmarkStart w:id="574" w:name="xdx_8BD_zIl6BN5j5PNe"/>
      <w:bookmarkEnd w:id="574"/>
      <w:r>
        <w:rPr>
          <w:rFonts w:ascii="Times New Roman;Times;Serif" w:hAnsi="Times New Roman;Times;Serif"/>
          <w:b w:val="false"/>
          <w:i w:val="false"/>
          <w:caps w:val="false"/>
          <w:smallCaps w:val="false"/>
          <w:sz w:val="20"/>
        </w:rPr>
        <w:t>Schedule of Nature Relationships with Related Parties</w:t>
      </w:r>
    </w:p>
    <w:tbl>
      <w:tblPr>
        <w:tblW w:w="9010" w:type="dxa"/>
        <w:jc w:val="left"/>
        <w:tblInd w:w="0" w:type="dxa"/>
        <w:tblLayout w:type="fixed"/>
        <w:tblCellMar>
          <w:top w:w="0" w:type="dxa"/>
          <w:left w:w="0" w:type="dxa"/>
          <w:bottom w:w="28" w:type="dxa"/>
          <w:right w:w="0" w:type="dxa"/>
        </w:tblCellMar>
      </w:tblPr>
      <w:tblGrid>
        <w:gridCol w:w="2975"/>
        <w:gridCol w:w="60"/>
        <w:gridCol w:w="5975"/>
      </w:tblGrid>
      <w:tr>
        <w:trPr/>
        <w:tc>
          <w:tcPr>
            <w:tcW w:w="297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7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the Company</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Kuan Hua KOH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75" w:name="xdx_903_eus-gaap--NatureOfCommonOwnershi"/>
            <w:bookmarkEnd w:id="575"/>
            <w:r>
              <w:rPr>
                <w:rFonts w:ascii="Times New Roman;Times;Serif" w:hAnsi="Times New Roman;Times;Serif"/>
                <w:b w:val="false"/>
                <w:i w:val="false"/>
                <w:caps w:val="false"/>
                <w:smallCaps w:val="false"/>
                <w:sz w:val="20"/>
              </w:rPr>
              <w:t>Controlling shareholder and director of the Company</w:t>
            </w:r>
          </w:p>
        </w:tc>
      </w:tr>
      <w:tr>
        <w:trPr/>
        <w:tc>
          <w:tcPr>
            <w:tcW w:w="29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Garden City Private Capital Limited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76" w:name="xdx_903_eus-gaap--NatureOfCommonOwnershi"/>
            <w:bookmarkEnd w:id="576"/>
            <w:r>
              <w:rPr>
                <w:rFonts w:ascii="Times New Roman;Times;Serif" w:hAnsi="Times New Roman;Times;Serif"/>
                <w:b w:val="false"/>
                <w:i w:val="false"/>
                <w:caps w:val="false"/>
                <w:smallCaps w:val="false"/>
                <w:sz w:val="20"/>
              </w:rPr>
              <w:t>Major shareholder of the Company and wholly owned by Kuan Hua KOH</w:t>
            </w:r>
          </w:p>
        </w:tc>
      </w:tr>
    </w:tbl>
    <w:p>
      <w:pPr>
        <w:pStyle w:val="TextBody"/>
        <w:bidi w:val="0"/>
        <w:spacing w:before="0" w:after="0"/>
        <w:ind w:left="0" w:right="0" w:hanging="0"/>
        <w:jc w:val="both"/>
        <w:rPr>
          <w:caps w:val="false"/>
          <w:smallCaps w:val="false"/>
        </w:rPr>
      </w:pPr>
      <w:bookmarkStart w:id="577" w:name="xdx_8A3_zEhz0opHwpub"/>
      <w:bookmarkEnd w:id="577"/>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578" w:name="xdx_89F_eus-gaap--ScheduleOfRelatedParty"/>
      <w:bookmarkEnd w:id="578"/>
      <w:r>
        <w:rPr>
          <w:rFonts w:ascii="Times New Roman;Times;Serif" w:hAnsi="Times New Roman;Times;Serif"/>
          <w:b w:val="false"/>
          <w:i/>
          <w:caps w:val="false"/>
          <w:smallCaps w:val="false"/>
          <w:sz w:val="20"/>
        </w:rPr>
        <w:t>b. Transactions with related parties</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579" w:name="xdx_8BB_zzuH2kL8abwe"/>
      <w:bookmarkEnd w:id="579"/>
      <w:r>
        <w:rPr>
          <w:rFonts w:ascii="Times New Roman;Times;Serif" w:hAnsi="Times New Roman;Times;Serif"/>
          <w:b w:val="false"/>
          <w:i/>
          <w:caps w:val="false"/>
          <w:smallCaps w:val="false"/>
          <w:sz w:val="20"/>
        </w:rPr>
        <w:t>Schedule of Transactions with Related Parties  </w:t>
      </w:r>
    </w:p>
    <w:tbl>
      <w:tblPr>
        <w:tblW w:w="9275" w:type="dxa"/>
        <w:jc w:val="left"/>
        <w:tblInd w:w="0" w:type="dxa"/>
        <w:tblLayout w:type="fixed"/>
        <w:tblCellMar>
          <w:top w:w="0" w:type="dxa"/>
          <w:left w:w="0" w:type="dxa"/>
          <w:bottom w:w="0" w:type="dxa"/>
          <w:right w:w="0" w:type="dxa"/>
        </w:tblCellMar>
      </w:tblPr>
      <w:tblGrid>
        <w:gridCol w:w="3050"/>
        <w:gridCol w:w="60"/>
        <w:gridCol w:w="290"/>
        <w:gridCol w:w="60"/>
        <w:gridCol w:w="2930"/>
        <w:gridCol w:w="60"/>
        <w:gridCol w:w="741"/>
        <w:gridCol w:w="508"/>
        <w:gridCol w:w="85"/>
        <w:gridCol w:w="85"/>
        <w:gridCol w:w="198"/>
        <w:gridCol w:w="1133"/>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80" w:name="xdx_498_20260101__20260630_zywsthFLstbj"/>
            <w:bookmarkEnd w:id="580"/>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bookmarkStart w:id="581" w:name="xdx_499_20250101__20250630_zOVsdgmftC2i"/>
            <w:bookmarkEnd w:id="581"/>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390" w:type="dxa"/>
            <w:gridSpan w:val="5"/>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5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bottom w:val="single" w:sz="8" w:space="0" w:color="000000"/>
            </w:tcBorders>
            <w:tcMar>
              <w:bottom w:w="28" w:type="dxa"/>
            </w:tcMar>
            <w:vAlign w:val="center"/>
          </w:tcPr>
          <w:p>
            <w:pPr>
              <w:pStyle w:val="TableContents"/>
              <w:bidi w:val="0"/>
              <w:spacing w:before="0" w:after="283"/>
              <w:jc w:val="left"/>
              <w:rPr>
                <w:b/>
              </w:rPr>
            </w:pPr>
            <w:r>
              <w:rPr>
                <w:b/>
              </w:rPr>
              <w:t>Nature</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582" w:name="xdx_40F_eus-gaap--RelatedPartyTransactio"/>
            <w:bookmarkEnd w:id="582"/>
          </w:p>
        </w:tc>
      </w:tr>
      <w:tr>
        <w:trPr/>
        <w:tc>
          <w:tcPr>
            <w:tcW w:w="3050" w:type="dxa"/>
            <w:tcBorders/>
            <w:shd w:fill="CCEEFF" w:val="clear"/>
            <w:vAlign w:val="center"/>
          </w:tcPr>
          <w:p>
            <w:pPr>
              <w:pStyle w:val="TableContents"/>
              <w:bidi w:val="0"/>
              <w:spacing w:before="0" w:after="283"/>
              <w:jc w:val="left"/>
              <w:rPr/>
            </w:pPr>
            <w:r>
              <w:rPr/>
              <w:t>Kuan Hua KOH</w:t>
            </w:r>
          </w:p>
        </w:tc>
        <w:tc>
          <w:tcPr>
            <w:tcW w:w="60" w:type="dxa"/>
            <w:tcBorders/>
            <w:shd w:fill="CCEEFF" w:val="clear"/>
            <w:vAlign w:val="center"/>
          </w:tcPr>
          <w:p>
            <w:pPr>
              <w:pStyle w:val="TableContents"/>
              <w:bidi w:val="0"/>
              <w:spacing w:before="0" w:after="283"/>
              <w:jc w:val="left"/>
              <w:rPr/>
            </w:pPr>
            <w:r>
              <w:rPr/>
              <w:t> </w:t>
            </w:r>
            <w:bookmarkStart w:id="583" w:name="xdx_F47_zG7Bx6WIqNBk"/>
            <w:bookmarkEnd w:id="583"/>
          </w:p>
        </w:tc>
        <w:tc>
          <w:tcPr>
            <w:tcW w:w="290"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2930" w:type="dxa"/>
            <w:tcBorders/>
            <w:shd w:fill="CCEEFF" w:val="clear"/>
            <w:vAlign w:val="center"/>
          </w:tcPr>
          <w:p>
            <w:pPr>
              <w:pStyle w:val="TableContents"/>
              <w:bidi w:val="0"/>
              <w:spacing w:before="0" w:after="283"/>
              <w:jc w:val="left"/>
              <w:rPr/>
            </w:pPr>
            <w:r>
              <w:rPr/>
              <w:t>Repayment from a shareholder</w:t>
            </w:r>
          </w:p>
        </w:tc>
        <w:tc>
          <w:tcPr>
            <w:tcW w:w="60" w:type="dxa"/>
            <w:tcBorders/>
            <w:shd w:fill="CCEEFF" w:val="clear"/>
            <w:vAlign w:val="center"/>
          </w:tcPr>
          <w:p>
            <w:pPr>
              <w:pStyle w:val="TableContents"/>
              <w:bidi w:val="0"/>
              <w:spacing w:before="0" w:after="283"/>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jc w:val="right"/>
              <w:rPr/>
            </w:pPr>
            <w:r>
              <w:rPr/>
              <w:t>269,467</w:t>
            </w:r>
          </w:p>
        </w:tc>
        <w:tc>
          <w:tcPr>
            <w:tcW w:w="75" w:type="dxa"/>
            <w:tcBorders/>
            <w:shd w:fill="CCEEFF" w:val="clear"/>
            <w:vAlign w:val="center"/>
          </w:tcPr>
          <w:p>
            <w:pPr>
              <w:pStyle w:val="TableContents"/>
              <w:bidi w:val="0"/>
              <w:spacing w:before="0" w:after="283"/>
              <w:jc w:val="left"/>
              <w:rPr/>
            </w:pPr>
            <w:r>
              <w:rPr/>
              <w:t> </w:t>
            </w:r>
            <w:bookmarkStart w:id="584" w:name="xdx_40F_eus-gaap--RelatedPartyTransactio"/>
            <w:bookmarkEnd w:id="584"/>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Transactions with related parties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2930" w:type="dxa"/>
            <w:tcBorders/>
            <w:shd w:fill="CCEEFF" w:val="clear"/>
            <w:vAlign w:val="center"/>
          </w:tcPr>
          <w:p>
            <w:pPr>
              <w:pStyle w:val="TableContents"/>
              <w:bidi w:val="0"/>
              <w:spacing w:before="0" w:after="283"/>
              <w:jc w:val="left"/>
              <w:rPr/>
            </w:pPr>
            <w:r>
              <w:rPr/>
              <w:t>Repayment from a shareholder</w:t>
            </w:r>
          </w:p>
        </w:tc>
        <w:tc>
          <w:tcPr>
            <w:tcW w:w="60" w:type="dxa"/>
            <w:tcBorders/>
            <w:shd w:fill="CCEEFF" w:val="clear"/>
            <w:vAlign w:val="center"/>
          </w:tcPr>
          <w:p>
            <w:pPr>
              <w:pStyle w:val="TableContents"/>
              <w:bidi w:val="0"/>
              <w:spacing w:before="0" w:after="283"/>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jc w:val="right"/>
              <w:rPr/>
            </w:pPr>
            <w:r>
              <w:rPr/>
              <w:t>269,467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85" w:name="xdx_F0C_zCLsVO8X8xJ"/>
            <w:bookmarkEnd w:id="585"/>
            <w:r>
              <w:rPr>
                <w:rFonts w:ascii="Times New Roman;Times;Serif" w:hAnsi="Times New Roman;Times;Serif"/>
                <w:b w:val="false"/>
                <w:i w:val="false"/>
                <w:caps w:val="false"/>
                <w:smallCaps w:val="false"/>
                <w:sz w:val="20"/>
              </w:rPr>
              <w:t>(1)</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86" w:name="xdx_F1A_zai214EIwbB5"/>
            <w:bookmarkEnd w:id="586"/>
            <w:r>
              <w:rPr>
                <w:rFonts w:ascii="Times New Roman;Times;Serif" w:hAnsi="Times New Roman;Times;Serif"/>
                <w:b w:val="false"/>
                <w:i w:val="false"/>
                <w:caps w:val="false"/>
                <w:smallCaps w:val="false"/>
                <w:sz w:val="20"/>
              </w:rPr>
              <w:t>The transactions represented repayment from a shareholder during the period ended June 30, 2025.</w:t>
            </w:r>
          </w:p>
        </w:tc>
      </w:tr>
      <w:tr>
        <w:trPr/>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represented advances to a shareholder during the period ended June 30, 2025.</w:t>
            </w:r>
          </w:p>
        </w:tc>
      </w:tr>
      <w:tr>
        <w:trPr/>
        <w:tc>
          <w:tcPr>
            <w:tcW w:w="238" w:type="dxa"/>
            <w:tcBorders/>
            <w:vAlign w:val="center"/>
          </w:tcPr>
          <w:p>
            <w:pPr>
              <w:pStyle w:val="TableContents"/>
              <w:bidi w:val="0"/>
              <w:spacing w:before="0" w:after="283"/>
              <w:jc w:val="left"/>
              <w:rPr>
                <w:caps w:val="false"/>
                <w:smallCaps w:val="false"/>
              </w:rPr>
            </w:pPr>
            <w:r>
              <w:rPr>
                <w:caps w:val="false"/>
                <w:smallCaps w:val="false"/>
              </w:rPr>
              <w:t> </w:t>
            </w:r>
          </w:p>
        </w:tc>
        <w:tc>
          <w:tcPr>
            <w:tcW w:w="996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financing facilities were guaranteed by the Company’s Chief Executive Officer. For detailed terms regarding this financing facilities, please refer to Note 8 Short-term Bank Loans.</w:t>
            </w:r>
          </w:p>
        </w:tc>
      </w:tr>
    </w:tbl>
    <w:p>
      <w:pPr>
        <w:pStyle w:val="TextBody"/>
        <w:bidi w:val="0"/>
        <w:spacing w:before="0" w:after="0"/>
        <w:ind w:left="0" w:right="0" w:hanging="0"/>
        <w:jc w:val="left"/>
        <w:rPr>
          <w:caps w:val="false"/>
          <w:smallCaps w:val="false"/>
        </w:rPr>
      </w:pPr>
      <w:bookmarkStart w:id="587" w:name="xdx_8AE_z6PxZjzzQNnl"/>
      <w:bookmarkEnd w:id="58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8" w:name="xdx_800_eus-gaap--CommitmentsAndContinge"/>
      <w:bookmarkEnd w:id="588"/>
      <w:r>
        <w:rPr>
          <w:rFonts w:ascii="Times New Roman;Times;Serif" w:hAnsi="Times New Roman;Times;Serif"/>
          <w:b/>
          <w:i w:val="false"/>
          <w:caps w:val="false"/>
          <w:smallCaps w:val="false"/>
          <w:sz w:val="20"/>
        </w:rPr>
        <w:t xml:space="preserve">13. </w:t>
      </w:r>
      <w:bookmarkStart w:id="589" w:name="xdx_82C_zaTdk4h7U72l"/>
      <w:bookmarkEnd w:id="58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Group had neither significant financial nor capital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Group was not a party to any legal or administrative proceedings. The Group further concludes that there were no legal or regulatory proceedings, either individually or in the aggregate, that could have resulted in an unfavorable outcome with a material adverse effect on the Group’s results of operations, unaudited condensed consolidated financial condition,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0" w:name="xdx_805_eus-gaap--SegmentReportingDisclo"/>
      <w:bookmarkEnd w:id="590"/>
      <w:r>
        <w:rPr>
          <w:rFonts w:ascii="Times New Roman;Times;Serif" w:hAnsi="Times New Roman;Times;Serif"/>
          <w:b/>
          <w:i w:val="false"/>
          <w:caps w:val="false"/>
          <w:smallCaps w:val="false"/>
          <w:sz w:val="20"/>
        </w:rPr>
        <w:t xml:space="preserve">14. </w:t>
      </w:r>
      <w:bookmarkStart w:id="591" w:name="xdx_82A_z7rgmHPXFhH6"/>
      <w:bookmarkEnd w:id="591"/>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management approach to determine reportable operating segments. The management approach considers the internal organization and reporting used by the Company’s CODM, specifically the Group’s CEO and CFO, for making decisions, allocating resources and assessing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the performance of the Group’s single reportable segment and makes resource allocation decisions primarily based on Income from operations, as reported in the unaudited condensed consolidated statements of income and comprehensive income. Income from operations represents the measure of segment profit or loss that is most consistent with the amounts recognized in the unaudited condensed consolidated financial statements. In making resource allocation decisions, the CODM also considers revenue from sales of marine fuels and the level of operating expenditures, including their impact on the Group’s trade financing requirements and the deployment of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does not distinguish revenues, costs and expenses between segments in its internal reporting, but instead reports costs and expenses by nature as a whole. Based on the management’s assessment, the Group determines that it has only </w:t>
      </w:r>
      <w:bookmarkStart w:id="592" w:name="xdx_90A_eus-gaap--NumberOfOperatingSegme"/>
      <w:bookmarkEnd w:id="592"/>
      <w:r>
        <w:rPr>
          <w:rFonts w:ascii="Times New Roman;Times;Serif" w:hAnsi="Times New Roman;Times;Serif"/>
          <w:b w:val="false"/>
          <w:i w:val="false"/>
          <w:caps w:val="false"/>
          <w:smallCaps w:val="false"/>
          <w:sz w:val="20"/>
        </w:rPr>
        <w:t xml:space="preserve">one operating segment and therefore one reportable segment as defined by ASC 280. Furthermore, the majority of the Group’s revenue are derived in or from Singapore with substantial operation being carried out in Singapore. Therefore, no geographical segments are presented. The Group concludes that it has only </w:t>
      </w:r>
      <w:bookmarkStart w:id="593" w:name="xdx_901_eus-gaap--NumberOfReportableSegm"/>
      <w:bookmarkEnd w:id="593"/>
      <w:r>
        <w:rPr>
          <w:rFonts w:ascii="Times New Roman;Times;Serif" w:hAnsi="Times New Roman;Times;Serif"/>
          <w:b w:val="false"/>
          <w:i w:val="false"/>
          <w:caps w:val="false"/>
          <w:smallCaps w:val="false"/>
          <w:sz w:val="20"/>
        </w:rPr>
        <w:t>one reportable segment. As such, all financial segment information required by the authoritative guidance can be found in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4" w:name="xdx_804_eus-gaap--SubsequentEventsTextBl"/>
      <w:bookmarkEnd w:id="594"/>
      <w:r>
        <w:rPr>
          <w:rFonts w:ascii="Times New Roman;Times;Serif" w:hAnsi="Times New Roman;Times;Serif"/>
          <w:b/>
          <w:i w:val="false"/>
          <w:caps w:val="false"/>
          <w:smallCaps w:val="false"/>
          <w:sz w:val="20"/>
        </w:rPr>
        <w:t xml:space="preserve">15. </w:t>
      </w:r>
      <w:bookmarkStart w:id="595" w:name="xdx_829_zJPKwhCSHI0a"/>
      <w:bookmarkEnd w:id="59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evaluated subsequent events through September 9, 2026, the date on which the unaudited condensed consolidated financial statements were available to be issued. The Group identified the following subsequent events requiring disclosure in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2026, the Group fully repaid the outstanding principal amount of $</w:t>
      </w:r>
      <w:bookmarkStart w:id="596" w:name="xdx_900_eus-gaap--RepaymentsOfDebt_c2026"/>
      <w:bookmarkEnd w:id="596"/>
      <w:r>
        <w:rPr>
          <w:rFonts w:ascii="Times New Roman;Times;Serif" w:hAnsi="Times New Roman;Times;Serif"/>
          <w:b w:val="false"/>
          <w:i w:val="false"/>
          <w:caps w:val="false"/>
          <w:smallCaps w:val="false"/>
          <w:sz w:val="20"/>
        </w:rPr>
        <w:t>3,000,000 under its 3M USD Commercial Paper Series 004.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2026, the Group completed the offering of its 3M USD Commercial Paper Series 005 and successfully raised $</w:t>
      </w:r>
      <w:bookmarkStart w:id="597" w:name="xdx_904_eus-gaap--CommercialPaper_iI_c20"/>
      <w:bookmarkEnd w:id="597"/>
      <w:r>
        <w:rPr>
          <w:rFonts w:ascii="Times New Roman;Times;Serif" w:hAnsi="Times New Roman;Times;Serif"/>
          <w:b w:val="false"/>
          <w:i w:val="false"/>
          <w:caps w:val="false"/>
          <w:smallCaps w:val="false"/>
          <w:sz w:val="20"/>
        </w:rPr>
        <w:t xml:space="preserve">3,000,000 through ADDX, a private market platform regulated by the Monetary Authority of Singapore. The commercial paper bears interest at a rate of </w:t>
      </w:r>
      <w:bookmarkStart w:id="598" w:name="xdx_90E_eus-gaap--DebtInstrumentInterest"/>
      <w:bookmarkEnd w:id="598"/>
      <w:r>
        <w:rPr>
          <w:rFonts w:ascii="Times New Roman;Times;Serif" w:hAnsi="Times New Roman;Times;Serif"/>
          <w:b w:val="false"/>
          <w:i w:val="false"/>
          <w:caps w:val="false"/>
          <w:smallCaps w:val="false"/>
          <w:sz w:val="20"/>
        </w:rPr>
        <w:t>6.25% per annum and has a tenor of three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Group fully repaid its outstanding trade financing balance of $</w:t>
      </w:r>
      <w:bookmarkStart w:id="599" w:name="xdx_90B_eus-gaap--RepaymentsOfDebt_c2026"/>
      <w:bookmarkEnd w:id="599"/>
      <w:r>
        <w:rPr>
          <w:rFonts w:ascii="Times New Roman;Times;Serif" w:hAnsi="Times New Roman;Times;Serif"/>
          <w:b w:val="false"/>
          <w:i w:val="false"/>
          <w:caps w:val="false"/>
          <w:smallCaps w:val="false"/>
          <w:sz w:val="20"/>
        </w:rPr>
        <w:t>1,388,443.</w:t>
      </w:r>
    </w:p>
    <w:p>
      <w:pPr>
        <w:pStyle w:val="TextBody"/>
        <w:bidi w:val="0"/>
        <w:spacing w:before="0" w:after="0"/>
        <w:ind w:left="0" w:right="0" w:hanging="0"/>
        <w:jc w:val="both"/>
        <w:rPr>
          <w:caps w:val="false"/>
          <w:smallCaps w:val="false"/>
        </w:rPr>
      </w:pPr>
      <w:bookmarkStart w:id="600" w:name="xdx_811_zxnxt0cfw8i8"/>
      <w:bookmarkEnd w:id="60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601" w:name="ex99-2.htm"/>
      <w:bookmarkStart w:id="602" w:name="ksex992"/>
      <w:bookmarkEnd w:id="601"/>
      <w:bookmarkEnd w:id="602"/>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35255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2571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Reports Record First-Half 2026 Financial Results and Raises Full-Year Revenue Guidance to US$340M-US$360M</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rose 72% to US$197.1 million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increased 158% to US$5.3 million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margin improved to 2.7%</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margin expanded to 35.8% from 8.9%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EBITDA grew 598% to US$2.1 million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SINGAPORE, September 9, 2026 - </w:t>
      </w:r>
      <w:r>
        <w:rPr>
          <w:rFonts w:ascii="Times New Roman;Times;Serif" w:hAnsi="Times New Roman;Times;Serif"/>
          <w:b/>
          <w:i w:val="false"/>
          <w:caps w:val="false"/>
          <w:smallCaps w:val="false"/>
          <w:sz w:val="20"/>
        </w:rPr>
        <w:t>Uni-Fuels Holdings Limited (NASDAQ: UFG), (“Uni-Fuels” or the “Company”)</w:t>
      </w:r>
      <w:r>
        <w:rPr>
          <w:rFonts w:ascii="Times New Roman;Times;Serif" w:hAnsi="Times New Roman;Times;Serif"/>
          <w:b w:val="false"/>
          <w:i w:val="false"/>
          <w:caps w:val="false"/>
          <w:smallCaps w:val="false"/>
          <w:sz w:val="20"/>
        </w:rPr>
        <w:t>, a global provider of marine fuel solutions headquartered in Singapore, today announced its unaudited interim financial results for the six months ended June 30,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Half 2026 Highlights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delivered record first-half financial results, achieving its highest first-half revenue, gross profit, income from operations, net income and EBITDA since its inception.</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Revenue increased 72% to US$197.1 million for the six months ended June 30, 2026, from US$114.6 million in the corresponding period of 2025</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Gross profit increased 158% to US$5.3 million, from US$2.1 million in the corresponding period of 2025</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Gross profit margin expanded to 2.7%, from 1.8% in the corresponding period of 2025, representing a 50% improvement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Income from operations increased 936% to US$1.9 million, compared to US$0.2 million in the first half of 2025</w:t>
            </w:r>
          </w:p>
        </w:tc>
      </w:tr>
    </w:tbl>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Operating margin improved 302% to 35.8%, from 8.9% in the prior-year period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Net income increased 1,415% to US$1.4 million, compared to US$0.1 million in the corresponding period of 2025</w:t>
            </w:r>
          </w:p>
        </w:tc>
      </w:tr>
    </w:tbl>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pPr>
            <w:r>
              <w:rPr/>
              <w:t>EBITDA increased 598% to US$2.1 million, from US$0.3 million in the first half of 2025</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35255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52550" cy="2571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Summary</w:t>
      </w:r>
    </w:p>
    <w:p>
      <w:pPr>
        <w:pStyle w:val="TextBody"/>
        <w:bidi w:val="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2285"/>
        <w:gridCol w:w="60"/>
        <w:gridCol w:w="455"/>
        <w:gridCol w:w="1055"/>
        <w:gridCol w:w="60"/>
        <w:gridCol w:w="60"/>
        <w:gridCol w:w="455"/>
        <w:gridCol w:w="1055"/>
        <w:gridCol w:w="75"/>
      </w:tblGrid>
      <w:tr>
        <w:trPr/>
        <w:tc>
          <w:tcPr>
            <w:tcW w:w="2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4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197,109,755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114,620,785</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5,339,844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2,069,646</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i/>
              </w:rPr>
            </w:pPr>
            <w:r>
              <w:rPr>
                <w:i/>
              </w:rPr>
              <w:t>Gross profit margin</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i/>
              </w:rPr>
            </w:pPr>
            <w:r>
              <w:rPr>
                <w:i/>
              </w:rPr>
              <w:t>2.7%</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i/>
              </w:rPr>
            </w:pPr>
            <w:r>
              <w:rPr>
                <w:i/>
              </w:rPr>
              <w:t>1.8%</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285" w:type="dxa"/>
            <w:tcBorders/>
            <w:shd w:fill="FFFFFF" w:val="clear"/>
            <w:vAlign w:val="center"/>
          </w:tcPr>
          <w:p>
            <w:pPr>
              <w:pStyle w:val="TableContents"/>
              <w:bidi w:val="0"/>
              <w:spacing w:before="0" w:after="283"/>
              <w:jc w:val="both"/>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1,910,969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184,430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Operating margin</w:t>
            </w:r>
            <w:r>
              <w:rPr>
                <w:rFonts w:ascii="Times New Roman;Times;Serif" w:hAnsi="Times New Roman;Times;Serif"/>
                <w:i/>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i/>
              </w:rPr>
            </w:pPr>
            <w:r>
              <w:rPr>
                <w:i/>
              </w:rPr>
              <w:t>35.8%</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i/>
              </w:rPr>
            </w:pPr>
            <w:r>
              <w:rPr>
                <w:i/>
              </w:rPr>
              <w:t>8.9%</w:t>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285" w:type="dxa"/>
            <w:tcBorders/>
            <w:shd w:fill="FFFFFF" w:val="clear"/>
            <w:vAlign w:val="center"/>
          </w:tcPr>
          <w:p>
            <w:pPr>
              <w:pStyle w:val="TableContents"/>
              <w:bidi w:val="0"/>
              <w:spacing w:before="0" w:after="283"/>
              <w:jc w:val="both"/>
              <w:rPr/>
            </w:pPr>
            <w:r>
              <w:rPr/>
              <w:t>Net income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1,378,204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90,987</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EBITDA</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2,125,019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304,578</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Operating margin is calculated as income from operations divided by gross profit. For more information, refer to “Definitions”.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See “Non-GAAP Financial Measures” for more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Outlook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raising its full-year 2026 revenue guidance to a range of US$340 million to US$360 million, from its previous guidance range of US$320 million to US$340 million, reflecting stronger-than-expected first-half performance and continued commercial momentum.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Management Commentary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first-half 2026 results demonstrate the strength of our commercial execution and the agility of our business model,” said Koh Kuan Hua, Chief Executive Officer of Uni-Fuels. “As geopolitical developments and market volatility continued to influence global oil markets, we remained focused on delivering reliable supply solutions and value-added services to our customers. Our ability to respond quickly to changing market dynamics while maintaining disciplined execution contributed to significant improvements in revenue, profitability and operating performance. We believe this momentum positions us well for the remainder of the year, as reflected in our increased full-year 2026 revenue guidance of US$340 million to US$360 million.”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Uni-Fuels Holdings 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is a fast-growing global provider of marine fuel solutions with a growing presence across major shipping hubs, including Singapore, Seoul, Dubai, Shanghai, Limassol, and Bangkok. Established in 2021, Uni-Fuels has evolved into a dynamic, forward-thinking company delivering customer-centric, compliant, and reliable fuel solutions across global markets and time zones, supported by 24/7 operational support year-round. Backed by a globally integrated operating platform, experienced industry professionals, and an extensive global supply network, Uni-Fuels has built trusted partnerships with customers, supporting them in achieving their operational objectives and decarbonization goals amid the maritime industry’s ongoing energy transformation.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visit </w:t>
      </w:r>
      <w:r>
        <w:rPr>
          <w:rFonts w:ascii="Times New Roman;Times;Serif" w:hAnsi="Times New Roman;Times;Serif"/>
          <w:b w:val="false"/>
          <w:i w:val="false"/>
          <w:caps w:val="false"/>
          <w:smallCaps w:val="false"/>
          <w:sz w:val="20"/>
          <w:u w:val="single"/>
        </w:rPr>
        <w:t>www.uni-fuels.com</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352550" cy="257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52550" cy="2571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Margin</w:t>
      </w:r>
      <w:r>
        <w:rPr>
          <w:rFonts w:ascii="Times New Roman;Times;Serif" w:hAnsi="Times New Roman;Times;Serif"/>
          <w:b w:val="false"/>
          <w:i w:val="false"/>
          <w:caps w:val="false"/>
          <w:smallCaps w:val="false"/>
          <w:sz w:val="20"/>
        </w:rPr>
        <w:t xml:space="preserve"> is calculated as income from operations divided by gross profit. Management believes this measure provides a meaningful assessment of operating efficiency because the Company’s business model involves the trading and supply of marine fuel products, where revenue primarily reflects the pass-through cost of fuel products and may fluctuate significantly with changes in underlying commodity prices. Accordingly, management believes gross profit provides a more meaningful basis than revenue for evaluating the Company’s operating performance and operating efficiency.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consolidated financial statements prepared in accordance with U.S. generally accepted accounting principles (“U.S. GAAP”), the Company presents certain non-GAAP financial measures, including earnings before interest, taxes, depreciation and amortization (“EBITDA”), which management uses to evaluate the Company’s operating performance and efficiency.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xml:space="preserve"> is defined as net income before interest expense, income tax expense, depreciation and amortization. Management believes EBITDA provides useful supplemental information to investors by removing the effects of financing decisions, income taxes and certain non-cash expenses, thereby facilitating period-to-period comparisons of the Company’s operating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presented solely as supplemental measures and should not be considered in isolation or as a substitute for, or superior to, the most directly comparable financial measures prepared in accordance with U.S. GAAP. In addition, these measures may not be comparable to similarly titled measures presented by other companies because they may be calculated differently. Reconciliations of certain of these non-GAAP financial measures to the most directly comparable U.S. GAAP financial measures are provided in the accompanying tables.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Forward-looking statements represent Uni-Fuels’ current expectations regarding future events and are subject to known and unknown risks and uncertainties that could cause actual results to differ materially from those implied by the forward-looking statements. These statements are subject to uncertainties and risks including, but not limited to, the Company’s ability to execute its strategic growth and expansion initiatives in a timely, cost effective and efficient manner, its ability to maintain compliance with applicable laws, regulations, and licensing requirements in the jurisdictions in which it operates, its ability to attract, evaluate and complete acquisitions, investments, or other strategic transactions with suitable candidates, and other risks and uncertainties related to market conditions and other factors discussed in the “Risk Factors” section of the Company’s annual report on Form 20-F for the year ended December 31, 2025, filed with the SEC on April 22, 2026. For these reasons, among others, investors are cautioned not to place undue reliance upon any forward-looking statements in this press release. Additional factors are discussed in the Company’s filings with the SEC, which are available for review at www.sec.gov. The Company undertakes no obligation to publicly revise these forward-looking statements to reflect events or circumstances that arise after the date 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Relations: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investors@uni-fuels.com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35255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52550" cy="25717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to non-GAAP Financial Measures</w:t>
      </w:r>
    </w:p>
    <w:p>
      <w:pPr>
        <w:pStyle w:val="TextBody"/>
        <w:bidi w:val="0"/>
        <w:jc w:val="center"/>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2855"/>
        <w:gridCol w:w="60"/>
        <w:gridCol w:w="455"/>
        <w:gridCol w:w="980"/>
        <w:gridCol w:w="60"/>
        <w:gridCol w:w="60"/>
        <w:gridCol w:w="455"/>
        <w:gridCol w:w="800"/>
        <w:gridCol w:w="110"/>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980" w:type="dxa"/>
            <w:tcBorders/>
            <w:shd w:fill="CCEEFF" w:val="clear"/>
            <w:vAlign w:val="center"/>
          </w:tcPr>
          <w:p>
            <w:pPr>
              <w:pStyle w:val="TableContents"/>
              <w:bidi w:val="0"/>
              <w:spacing w:before="0" w:after="283"/>
              <w:jc w:val="right"/>
              <w:rPr/>
            </w:pPr>
            <w:r>
              <w:rPr/>
              <w:t>1,378,204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800" w:type="dxa"/>
            <w:tcBorders/>
            <w:shd w:fill="CCEEFF" w:val="clear"/>
            <w:vAlign w:val="center"/>
          </w:tcPr>
          <w:p>
            <w:pPr>
              <w:pStyle w:val="TableContents"/>
              <w:bidi w:val="0"/>
              <w:spacing w:before="0" w:after="283"/>
              <w:jc w:val="right"/>
              <w:rPr/>
            </w:pPr>
            <w:r>
              <w:rPr/>
              <w:t>90,987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Add:</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(7,826</w:t>
            </w:r>
          </w:p>
        </w:tc>
        <w:tc>
          <w:tcPr>
            <w:tcW w:w="110" w:type="dxa"/>
            <w:tcBorders/>
            <w:shd w:fill="CCEEFF" w:val="clear"/>
            <w:vAlign w:val="center"/>
          </w:tcPr>
          <w:p>
            <w:pPr>
              <w:pStyle w:val="TableContents"/>
              <w:bidi w:val="0"/>
              <w:spacing w:before="0" w:after="283"/>
              <w:jc w:val="left"/>
              <w:rPr/>
            </w:pPr>
            <w:r>
              <w:rPr/>
              <w:t>)</w:t>
            </w:r>
          </w:p>
        </w:tc>
      </w:tr>
      <w:tr>
        <w:trPr/>
        <w:tc>
          <w:tcPr>
            <w:tcW w:w="2855"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513,209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107,490</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91,031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113,927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left"/>
              <w:rPr/>
            </w:pPr>
            <w:r>
              <w:rPr/>
              <w:t>US$</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2,125,019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left"/>
              <w:rPr/>
            </w:pPr>
            <w:r>
              <w:rPr/>
              <w:t>US$</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304,578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Depreciation and amortization comprises depreciation of property and equipment of US$36,979 (2026) and US$38,781 (2025), consistent with the statement of cash flows, and amortization of right-of-use assets of US$54,052 (2026) and US$75,146 (2025). The amortization of right-of-use assets relates to operating leases and is recognized within operating lease expense under U.S. GAAP; accordingly, it is not presented as a separate depreciation charge in the statement of cash flows.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14297</Words>
  <Characters>80442</Characters>
  <CharactersWithSpaces>96264</CharactersWithSpaces>
  <Paragraphs>5077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