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001-42469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Uni-Fuels Holdings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 Beach Road, Beach Centre #05-07</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189677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22, 2026, Uni-Fuels Holdings Limited (the “Company”) issued a press release announcing its 2025 annual financial results. Copy of the press release is being filed as Exhibit 99.1 to this Form 6-K.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10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9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6"/>
                <w:szCs w:val="16"/>
                <w:color w:val="auto"/>
              </w:rPr>
            </w:pPr>
          </w:p>
        </w:tc>
        <w:tc>
          <w:tcPr>
            <w:tcW w:w="2520" w:type="dxa"/>
            <w:vAlign w:val="bottom"/>
            <w:tcBorders>
              <w:bottom w:val="single" w:sz="8" w:color="0000EE"/>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April 22, 2026</w:t>
            </w:r>
          </w:p>
        </w:tc>
        <w:tc>
          <w:tcPr>
            <w:tcW w:w="7620" w:type="dxa"/>
            <w:vAlign w:val="bottom"/>
            <w:tcBorders>
              <w:bottom w:val="single" w:sz="8" w:color="CCEEFF"/>
            </w:tcBorders>
            <w:gridSpan w:val="2"/>
            <w:shd w:val="clear" w:color="auto" w:fill="CCEEFF"/>
          </w:tcPr>
          <w:p>
            <w:pPr>
              <w:spacing w:after="0"/>
              <w:rPr>
                <w:sz w:val="16"/>
                <w:szCs w:val="16"/>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26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0000EE"/>
              </w:rPr>
              <w:t>Financial Statements for the year ended December 31, 2025</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1800" w:type="dxa"/>
            <w:vAlign w:val="bottom"/>
            <w:tcBorders>
              <w:top w:val="single" w:sz="8" w:color="0000EE"/>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UNI-FUELS HOLDINGS LIMITED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Koh Kuan Hua</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Koh Kuan Hua</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156845</wp:posOffset>
            </wp:positionV>
            <wp:extent cx="1217295" cy="231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29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Uni-Fuels Reports Audited FY2025 Results with 70% Revenue Growth and Expanding Global Operations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Marine fuel volumes increased 112% in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Revenue increased 70% year over year to US$263.9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Gross profit rose 47% year over year to US$4.7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Global footprint expanded to 156 ports (+79% YoY)</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SINGAPORE, APRIL 22, 2026 - </w:t>
      </w:r>
      <w:r>
        <w:rPr>
          <w:rFonts w:ascii="Times New Roman" w:cs="Times New Roman" w:eastAsia="Times New Roman" w:hAnsi="Times New Roman"/>
          <w:sz w:val="18"/>
          <w:szCs w:val="18"/>
          <w:b w:val="1"/>
          <w:bCs w:val="1"/>
          <w:color w:val="auto"/>
        </w:rPr>
        <w:t>Uni-Fuels Holdings Limited (NASDAQ: UFG), (“Uni-Fuels” or the “Company”)</w:t>
      </w:r>
      <w:r>
        <w:rPr>
          <w:rFonts w:ascii="Times New Roman" w:cs="Times New Roman" w:eastAsia="Times New Roman" w:hAnsi="Times New Roman"/>
          <w:sz w:val="18"/>
          <w:szCs w:val="18"/>
          <w:color w:val="auto"/>
        </w:rPr>
        <w:t>, a global provider of marine fuel solutions headquartered in Singapore, today announced its audited financial results for the fiscal year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FY2025 Financial and Operational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Uni-Fuels delivered continued growth in 2025, driven by increased trading activity, an expanded global footprint, and a growing customer base.</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70% year over year to US$263.9 million, driven by core marine fuel trading activities.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fuel volumes increased 112% year over year to over 535,000 MT.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 coverage expanded to 156 locations (+79% YoY), reflecting broader global reach.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to US$4.7 million, while gross profit margin moderated to 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increased to US$10.1 million, supporting higher trading volumes.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Developments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FY 2025, Uni-Fuels achieved several strategic milestones:</w:t>
      </w:r>
    </w:p>
    <w:p>
      <w:pPr>
        <w:spacing w:after="0" w:line="225" w:lineRule="exact"/>
        <w:rPr>
          <w:sz w:val="20"/>
          <w:szCs w:val="20"/>
          <w:color w:val="auto"/>
        </w:rPr>
      </w:pPr>
    </w:p>
    <w:p>
      <w:pPr>
        <w:jc w:val="both"/>
        <w:ind w:left="660" w:hanging="328"/>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its credentials to supply biofuels compliant with the European Union Renewable Energy Directive (“RED II”), including Proof of Sustainability (“PoS”), following the receipt of ISCC EU and ISCC PLUS certifications from the International Sustainability and Carbon Certification (“ISCC”).</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its international presence through the establishment of subsidiaries in Dubai, Shanghai, and Limassol, enhancing its ability to access a broader customer base and improve proximity to suppliers across key regions.</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Diversified its sources of capital, including raising US$3 million via ADDX, a private market platform regulated by the Monetary Authority of Singapore, and through the issuance of its 3M USD Commercial Paper Series 001 and Series 002, both fully repaid upon maturity in 2025.</w:t>
      </w: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 three-year Letter of Award to supply marine fuels to a leading engineering, procurement, construction, and installation (“EPCI”) contractor in the Asia Pacific offshore oil and gas sector, effective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Performance Indicators</w:t>
            </w: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1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278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FY2025</w:t>
            </w:r>
          </w:p>
        </w:tc>
        <w:tc>
          <w:tcPr>
            <w:tcW w:w="32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FY2024</w:t>
            </w:r>
          </w:p>
        </w:tc>
        <w:tc>
          <w:tcPr>
            <w:tcW w:w="3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w w:val="95"/>
              </w:rPr>
              <w:t>YoY Change</w:t>
            </w:r>
          </w:p>
        </w:tc>
        <w:tc>
          <w:tcPr>
            <w:tcW w:w="160" w:type="dxa"/>
            <w:vAlign w:val="bottom"/>
            <w:tcBorders>
              <w:bottom w:val="single" w:sz="8" w:color="CCEEFF"/>
            </w:tcBorders>
          </w:tcPr>
          <w:p>
            <w:pPr>
              <w:spacing w:after="0"/>
              <w:rPr>
                <w:sz w:val="24"/>
                <w:szCs w:val="24"/>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 Supplied</w:t>
            </w: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1,179</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Fuel Volume (MT)</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535,000+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Ports Covered</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3182620</wp:posOffset>
            </wp:positionH>
            <wp:positionV relativeFrom="page">
              <wp:posOffset>448945</wp:posOffset>
            </wp:positionV>
            <wp:extent cx="1217295" cy="231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311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These metrics reflect strong growth in trading activity, customer expansion, and geographic coverage during the year.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Financial Position and Efficiency Metrics</w:t>
            </w:r>
          </w:p>
        </w:tc>
        <w:tc>
          <w:tcPr>
            <w:tcW w:w="3720" w:type="dxa"/>
            <w:vAlign w:val="bottom"/>
            <w:gridSpan w:val="2"/>
          </w:tcPr>
          <w:p>
            <w:pPr>
              <w:spacing w:after="0"/>
              <w:rPr>
                <w:sz w:val="17"/>
                <w:szCs w:val="17"/>
                <w:color w:val="auto"/>
              </w:rPr>
            </w:pPr>
          </w:p>
        </w:tc>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Metric</w:t>
            </w:r>
          </w:p>
        </w:tc>
        <w:tc>
          <w:tcPr>
            <w:tcW w:w="2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FY2025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FY2024</w:t>
            </w:r>
          </w:p>
        </w:tc>
      </w:tr>
      <w:tr>
        <w:trPr>
          <w:trHeight w:val="210"/>
        </w:trPr>
        <w:tc>
          <w:tcPr>
            <w:tcW w:w="66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Ratio</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Working Capital (US$)</w:t>
            </w:r>
          </w:p>
        </w:tc>
        <w:tc>
          <w:tcPr>
            <w:tcW w:w="2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10.1m</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3.7m</w:t>
            </w:r>
          </w:p>
        </w:tc>
      </w:tr>
      <w:tr>
        <w:trPr>
          <w:trHeight w:val="216"/>
        </w:trPr>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Debt-to-Equity Ratio</w:t>
            </w:r>
          </w:p>
        </w:tc>
        <w:tc>
          <w:tcPr>
            <w:tcW w:w="2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2.76</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r>
      <w:tr>
        <w:trPr>
          <w:trHeight w:val="234"/>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improved its liquidity position during the year, with working capital increasing to US$10.1 million (2024: US$3.7 million), supporting higher trading volumes.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levels remained broadly stable, while gross profit margins moderated due to competitive market conditions and the scaling of market share across existing and new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FY2025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increased by US$108.7 million, or 70.0%, to US$263.9 million for the year ended December 31, 2025, from US$155.2 million for the year ended December 31, 2024. The increase was primarily driven by the expansion of our core sales of marine fuels segment, which continues to be the principal contributor to the Company’s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revenues increased by approximately US$107.2 million, or 71.0%, to approximately US$259.2 million for the year ended December 31, 2025, from approximately US$152.0 million for the year ended December 31, 2024, primarily in line with the growth in our sales of marine fuels segment. The increase was mainly attributable to higher volumes of fuel procured to meet increased customer demand, as well as the associated costs of securing supply across an expanded global supply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3182620</wp:posOffset>
            </wp:positionH>
            <wp:positionV relativeFrom="page">
              <wp:posOffset>448945</wp:posOffset>
            </wp:positionV>
            <wp:extent cx="1217295"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31140"/>
                    </a:xfrm>
                    <a:prstGeom prst="rect">
                      <a:avLst/>
                    </a:prstGeom>
                    <a:noFill/>
                  </pic:spPr>
                </pic:pic>
              </a:graphicData>
            </a:graphic>
          </wp:anchor>
        </w:drawing>
        <w:t>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approximately US$1.5 million, or 47%, to approximately US$4.7 million for the year ended December 31, 2025, from approximately US$3.2 million for the year ended December 31, 2024. The total gross profit margin was approximately 1.8% for the year ended December 31, 2025, compared to approximately 2.1% in the prior year, representing a decrease of approximately 0.3%.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gross profit was primarily driven by higher sales volumes. The decrease in gross margin reflected competitive market conditions and the Company’s continued focus on expanding market share across existing and new markets. Notwithstanding the lower margin, the increase in absolute gross profit demonstrates the scalability of our business and our ability to grow earnings alongside revenue expansion.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increased to US$1.3 million for the year ended December 31, 2025, from US$0.7 million for the year ended December 31, 2024, primarily due to the expansion of our sales activities. The increase was mainly attributable to higher personnel costs arising from additional hires in our sales and marketing function, as well as increased business travel and marketing initiatives undertaken to support customer engagement and business development efforts.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US$2.7 million to US$5.0 million for the year ended December 31, 2025, from US$2.3 million for the year ended December 31, 2024, primarily due to the expansion of our operations. The increase was mainly attributable to higher personnel costs and expenses associated with the establishment of new offices. In addition, professional fees have increased, driven in part by capital markets activities and higher costs associated with maintaining our status as a listed company, including public company compliance and other administrative expenses associated with our growing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(loss)/income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decreased by US$93,100, from US$55,083 for the year ended December 31, 2024, to a loss of US$38,017 for the year ended December 31, 2025. The decrease was mainly due to interest expenses of US$97,737 incurred in 2025 in connection with short-term financing arrangements, partially offset by interest income, compared to no such financing costs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loss before income taxes of US$1.6 million for the year ended December 31, 2025, compared to income before income taxes of US$0.3 million for the year ended December 31, 2024. The change was primarily driven by higher operating expenses, particularly the increase in general and administrative expenses as discussed above, which more than offset the growth in gross profit during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 expense increased from US$98,000 for the year ended December 31, 2024, to US$134,000 for the year ended December 31, 2025. The increase was a result of the increase in profit before tax generated by our Singapore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3182620</wp:posOffset>
            </wp:positionH>
            <wp:positionV relativeFrom="page">
              <wp:posOffset>448945</wp:posOffset>
            </wp:positionV>
            <wp:extent cx="1217295" cy="231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17295" cy="231140"/>
                    </a:xfrm>
                    <a:prstGeom prst="rect">
                      <a:avLst/>
                    </a:prstGeom>
                    <a:noFill/>
                  </pic:spPr>
                </pic:pic>
              </a:graphicData>
            </a:graphic>
          </wp:anchor>
        </w:drawing>
        <w:t>Net (loss)/income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factors, we incurred a net loss of US$1.8 million from net income of US$0.2 million for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Commentary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“2025 marked a year of strong growth for Uni-Fuels, with revenue increasing 70% year over year, driven by higher marine fuel volumes, an expanded global footprint, and a growing customer base,” said Mr. Koh Kuan Hua, Chief Executive Officer of Uni-Fuels. “We continued to scale our operations, strengthen our international presence, and enhance our capabilities, alongside strengthening our ability to offer sustainable marine fuel solutions. Gross profit increased year over year, although gross profit margins were impacted due to competitive market conditions, market share expansion, and higher operating costs associated with our growth and transition as a listed company. We remain focused on improving operating efficiency and maintaining financial discipline as we continue to scale to deliver sustainable value to our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year 2026, the Company expects revenue to be in the range of US$310 million to US$330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to 2026, we are committed to building on our growth momentum and enhancing profitability as we scale,” said Koh Kuan Hua, Chief Executive Officer of Uni-Fuels. “We expect to benefit from our expanded global footprint and growing customer base, supported by continued expansion in trading activity while maintaining a disciplined focus on improving margins and operating leverage.”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Uni-Fuels Holdings Limited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Uni-Fuels is a fast-growing global provider of marine fuel solutions with a growing presence across major shipping hubs, including Singapore, Seoul, Dubai, Shanghai, Limassol, and Bangkok. Established in 2021, Uni-Fuels has evolved into a dynamic, forward-thinking company delivering customer-centric, compliant, and reliable fuel solutions across global markets and time zones, supported by 24/7 operational support year-round. Backed by a globally integrated operating platform, experienced industry professionals, and an extensive global supply network, Uni-Fuels has built trusted partnerships with customers, supporting them in achieving their operational objectives and decarbonization goals amid the maritime industry’s ongoing energy transformation.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www.uni-fuels.com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Forward-looking statements represent Uni-Fuels’ current expectations regarding future events and are subject to known and unknown risks and uncertainties that could cause actual results to differ materially from those implied by the forward-looking statements. These statements are subject to uncertainties and risks including, but not limited to, the Company’s ability to execute on the contemplated expansion plan in a timely, cost effective and efficient manner, its ability to continue its cross-border regulatory compliance, its ability to attract, evaluable and complete acquisitions with suitable candidates, and other risks and uncertainties related to market conditions and other factors discussed in the “Risk Factors” section of the Company’s annual report on Form 20-F for the year ended December 31, 2025, filed with the SEC on April 22, 2026. For these reasons, among others, investors are cautioned not to place undue reliance upon any forward-looking statements in this press release. Additional factors are discussed in the Company's filings with the SEC, which are available for review at www.sec.gov. The Company undertakes no obligation to publicly revise these forward-looking statements to reflect events or circumstances that arise after the date 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Uni-Fuels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investors@uni-fuels.com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Exhibit 99.2</w:t>
            </w: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648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648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UNI-FUELS HOLDINGS LIMITED</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980" w:type="dxa"/>
            <w:vAlign w:val="bottom"/>
            <w:gridSpan w:val="5"/>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for the Year Ended December 31, 2024 </w:t>
            </w:r>
            <w:r>
              <w:rPr>
                <w:rFonts w:ascii="Times New Roman" w:cs="Times New Roman" w:eastAsia="Times New Roman" w:hAnsi="Times New Roman"/>
                <w:sz w:val="18"/>
                <w:szCs w:val="18"/>
                <w:color w:val="000000"/>
              </w:rPr>
              <w:t>(PCAOB ID: 5395)</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for the Year Ended December 31, 2025 </w:t>
            </w:r>
            <w:r>
              <w:rPr>
                <w:rFonts w:ascii="Times New Roman" w:cs="Times New Roman" w:eastAsia="Times New Roman" w:hAnsi="Times New Roman"/>
                <w:sz w:val="18"/>
                <w:szCs w:val="18"/>
                <w:color w:val="000000"/>
              </w:rPr>
              <w:t>(PCAOB ID: 6783)</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for the Years Ended December 31, 2025, 2024 and 2023</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2025, 2024 and 2023</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2024 and 2023</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60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rPr>
              <w:t>F-8 – F-23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16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4980" w:type="dxa"/>
            <w:vAlign w:val="bottom"/>
            <w:tcBorders>
              <w:top w:val="single" w:sz="8" w:color="CCEEFF"/>
              <w:bottom w:val="single" w:sz="8" w:color="auto"/>
            </w:tcBorders>
            <w:gridSpan w:val="5"/>
          </w:tcPr>
          <w:p>
            <w:pPr>
              <w:jc w:val="center"/>
              <w:ind w:right="3060"/>
              <w:spacing w:after="0"/>
              <w:rPr>
                <w:sz w:val="20"/>
                <w:szCs w:val="20"/>
                <w:color w:val="auto"/>
              </w:rPr>
            </w:pPr>
            <w:r>
              <w:rPr>
                <w:rFonts w:ascii="Times New Roman" w:cs="Times New Roman" w:eastAsia="Times New Roman" w:hAnsi="Times New Roman"/>
                <w:sz w:val="18"/>
                <w:szCs w:val="18"/>
                <w:color w:val="auto"/>
                <w:w w:val="95"/>
              </w:rPr>
              <w:t>F-1</w:t>
            </w:r>
          </w:p>
        </w:tc>
        <w:tc>
          <w:tcPr>
            <w:tcW w:w="16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2471420</wp:posOffset>
            </wp:positionH>
            <wp:positionV relativeFrom="page">
              <wp:posOffset>448945</wp:posOffset>
            </wp:positionV>
            <wp:extent cx="257175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571750" cy="402590"/>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Uni-Fuels Holdings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Uni-Fuels Holdings Limited (the “Company”) as of December 31, 2024 and 2023, the related consolidated statements of income and comprehensive income, changes in shareholders’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2024 to 2025</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OFFICE ● 7 Penn Plaza ● Suite 830 ● New York, New York ●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646.442.4845 ● Fax 646.349.5200 ● www.marcumasia.com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448945</wp:posOffset>
            </wp:positionV>
            <wp:extent cx="5743575" cy="763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43575" cy="76327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Uni-Fuels Holdings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Uni-Fuels Holdings Limited and its subsidiaries (the “Company”) as of December 31, 2025 and the related consolidated statements of operation and comprehensive income, consolidated statements of changes in shareholders’ equity, and consolidated statements of cash flows for the year then ended,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the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Assentsure PAC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6783</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6880" w:type="dxa"/>
            <w:vAlign w:val="bottom"/>
          </w:tcPr>
          <w:p>
            <w:pPr>
              <w:jc w:val="center"/>
              <w:ind w:left="4290"/>
              <w:spacing w:after="0"/>
              <w:rPr>
                <w:sz w:val="20"/>
                <w:szCs w:val="20"/>
                <w:color w:val="auto"/>
              </w:rPr>
            </w:pPr>
            <w:r>
              <w:rPr>
                <w:rFonts w:ascii="Times New Roman" w:cs="Times New Roman" w:eastAsia="Times New Roman" w:hAnsi="Times New Roman"/>
                <w:sz w:val="18"/>
                <w:szCs w:val="18"/>
                <w:b w:val="1"/>
                <w:bCs w:val="1"/>
                <w:color w:val="auto"/>
                <w:w w:val="99"/>
              </w:rPr>
              <w:t>Uni-Fuels Holdings Limited</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80" w:type="dxa"/>
            <w:vAlign w:val="bottom"/>
          </w:tcPr>
          <w:p>
            <w:pPr>
              <w:jc w:val="center"/>
              <w:ind w:left="42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100" w:type="dxa"/>
            <w:vAlign w:val="bottom"/>
            <w:gridSpan w:val="5"/>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(Expressed in U.S. Dollars, except for the number of shares)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12,542,539</w:t>
            </w:r>
          </w:p>
        </w:tc>
        <w:tc>
          <w:tcPr>
            <w:tcW w:w="80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4,324,956</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26,255,689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11,458,689</w:t>
            </w:r>
          </w:p>
        </w:tc>
      </w:tr>
      <w:tr>
        <w:trPr>
          <w:trHeight w:val="229"/>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316,051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229,928</w:t>
            </w: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39,114,279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16,013,573</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284,961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329,585</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79,614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133,103</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4,457</w:t>
            </w:r>
          </w:p>
        </w:tc>
      </w:tr>
      <w:tr>
        <w:trPr>
          <w:trHeight w:val="230"/>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initial public offering (“IPO”) costs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482,183</w:t>
            </w: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39,480,340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16,962,901</w:t>
            </w:r>
          </w:p>
        </w:tc>
        <w:tc>
          <w:tcPr>
            <w:tcW w:w="1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23,297,982</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10,092,160</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4,215,217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1,510,249</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269,467</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162,212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91,025</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78,281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104,267</w:t>
            </w: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1,215,216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291,464</w:t>
            </w:r>
          </w:p>
        </w:tc>
      </w:tr>
      <w:tr>
        <w:trPr>
          <w:trHeight w:val="209"/>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28,968,908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12,358,632</w:t>
            </w:r>
          </w:p>
        </w:tc>
        <w:tc>
          <w:tcPr>
            <w:tcW w:w="1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41,011</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 non-current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10,153</w:t>
            </w: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8,243</w:t>
            </w:r>
          </w:p>
        </w:tc>
      </w:tr>
      <w:tr>
        <w:trPr>
          <w:trHeight w:val="210"/>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59,407</w:t>
            </w:r>
          </w:p>
        </w:tc>
        <w:tc>
          <w:tcPr>
            <w:tcW w:w="1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28,977,574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12,418,039</w:t>
            </w:r>
          </w:p>
        </w:tc>
        <w:tc>
          <w:tcPr>
            <w:tcW w:w="100" w:type="dxa"/>
            <w:vAlign w:val="bottom"/>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(US$0.0001 par value, 450,000,000 shares authorized; 9,815,000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7,350,000 shares issued and outstanding as of December 31, 2025 and 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(US$0.0001 par value, 50,000,000 shares authorized; 22,650,000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22,650,000 shares issued and outstanding as of December 31, 2025 and 2024,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11,706,110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3,997,000</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deficit)/Retained earnings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(1,205,943)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544,717</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10,502,766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4,544,862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39,480,340</w:t>
            </w:r>
          </w:p>
        </w:tc>
        <w:tc>
          <w:tcPr>
            <w:tcW w:w="80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16,962,901</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880" w:type="dxa"/>
            <w:vAlign w:val="bottom"/>
            <w:tcBorders>
              <w:bottom w:val="single" w:sz="8" w:color="auto"/>
            </w:tcBorders>
          </w:tcPr>
          <w:p>
            <w:pPr>
              <w:jc w:val="center"/>
              <w:ind w:left="4270"/>
              <w:spacing w:after="0"/>
              <w:rPr>
                <w:sz w:val="20"/>
                <w:szCs w:val="20"/>
                <w:color w:val="auto"/>
              </w:rPr>
            </w:pPr>
            <w:r>
              <w:rPr>
                <w:rFonts w:ascii="Times New Roman" w:cs="Times New Roman" w:eastAsia="Times New Roman" w:hAnsi="Times New Roman"/>
                <w:sz w:val="18"/>
                <w:szCs w:val="18"/>
                <w:color w:val="auto"/>
                <w:w w:val="95"/>
              </w:rPr>
              <w:t>F-4</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 except for the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marine fuels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263,873,349</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155,180,863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67,966,869</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marine fuels -related party</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2,184,911</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Brokerage commissions</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14,237</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12,150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142,479</w:t>
            </w: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Brokerage commissions -related parties</w:t>
            </w: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491,269</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263,887,586</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155,193,013</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70,785,528</w:t>
            </w:r>
          </w:p>
        </w:tc>
        <w:tc>
          <w:tcPr>
            <w:tcW w:w="10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80" w:type="dxa"/>
            <w:vAlign w:val="bottom"/>
          </w:tcPr>
          <w:p>
            <w:pPr>
              <w:spacing w:after="0"/>
              <w:rPr>
                <w:sz w:val="19"/>
                <w:szCs w:val="19"/>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(259,207,265)</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(152,009,204)</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(68,505,327)</w:t>
            </w:r>
          </w:p>
        </w:tc>
      </w:tr>
      <w:tr>
        <w:trPr>
          <w:trHeight w:val="210"/>
        </w:trPr>
        <w:tc>
          <w:tcPr>
            <w:tcW w:w="5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4,680,321</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3,183,809</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2,280,201</w:t>
            </w:r>
          </w:p>
        </w:tc>
      </w:tr>
      <w:tr>
        <w:trPr>
          <w:trHeight w:val="216"/>
        </w:trPr>
        <w:tc>
          <w:tcPr>
            <w:tcW w:w="5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(1,294,084)</w:t>
            </w: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(661,892)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(210,957)</w:t>
            </w: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(4,964,874)</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(2,307,275)</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(672,131)</w:t>
            </w:r>
          </w:p>
        </w:tc>
      </w:tr>
      <w:tr>
        <w:trPr>
          <w:trHeight w:val="209"/>
        </w:trPr>
        <w:tc>
          <w:tcPr>
            <w:tcW w:w="54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(6,258,958</w:t>
            </w:r>
          </w:p>
        </w:tc>
        <w:tc>
          <w:tcPr>
            <w:tcW w:w="36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(2,969,167</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(883,088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from operations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(1,578,637)</w:t>
            </w: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214,642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1,397,113</w:t>
            </w: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(loss)/income</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9"/>
                <w:szCs w:val="19"/>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(63,793)</w:t>
            </w: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(4,801)</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10"/>
        </w:trPr>
        <w:tc>
          <w:tcPr>
            <w:tcW w:w="5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59,884</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(loss)/income,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(38,017</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55,083</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ind w:right="152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(Loss)/Income before income tax expense </w:t>
      </w:r>
      <w:r>
        <w:rPr>
          <w:rFonts w:ascii="Times New Roman" w:cs="Times New Roman" w:eastAsia="Times New Roman" w:hAnsi="Times New Roman"/>
          <w:sz w:val="18"/>
          <w:szCs w:val="18"/>
          <w:color w:val="auto"/>
        </w:rPr>
        <w:t>Income tax expense</w:t>
      </w:r>
    </w:p>
    <w:p>
      <w:pPr>
        <w:spacing w:after="0"/>
        <w:rPr>
          <w:sz w:val="20"/>
          <w:szCs w:val="20"/>
          <w:color w:val="auto"/>
        </w:rPr>
      </w:pPr>
      <w:r>
        <w:rPr>
          <w:rFonts w:ascii="Times New Roman" w:cs="Times New Roman" w:eastAsia="Times New Roman" w:hAnsi="Times New Roman"/>
          <w:sz w:val="18"/>
          <w:szCs w:val="18"/>
          <w:b w:val="1"/>
          <w:bCs w:val="1"/>
          <w:color w:val="auto"/>
        </w:rPr>
        <w:t>Net (loss)/income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(1,616,654)</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269,725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1,406,150</w:t>
            </w:r>
          </w:p>
        </w:tc>
        <w:tc>
          <w:tcPr>
            <w:tcW w:w="60" w:type="dxa"/>
            <w:vAlign w:val="bottom"/>
          </w:tcPr>
          <w:p>
            <w:pPr>
              <w:spacing w:after="0"/>
              <w:rPr>
                <w:sz w:val="19"/>
                <w:szCs w:val="19"/>
                <w:color w:val="auto"/>
              </w:rPr>
            </w:pPr>
          </w:p>
        </w:tc>
      </w:tr>
      <w:tr>
        <w:trPr>
          <w:trHeight w:val="21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(134,006</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(98,128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(194,363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(1,750,660</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171,597</w:t>
            </w:r>
          </w:p>
        </w:tc>
        <w:tc>
          <w:tcPr>
            <w:tcW w:w="3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1,211,787</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-299720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80" w:space="720"/>
            <w:col w:w="584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(793)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4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(1,751,453</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171,742</w:t>
            </w:r>
          </w:p>
        </w:tc>
        <w:tc>
          <w:tcPr>
            <w:tcW w:w="32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1,211,787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(0.18)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0.07</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3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32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used in calculating basic and</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5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9,662,918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2,318,630</w:t>
            </w: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22,650,000</w:t>
            </w:r>
          </w:p>
        </w:tc>
        <w:tc>
          <w:tcPr>
            <w:tcW w:w="360" w:type="dxa"/>
            <w:vAlign w:val="bottom"/>
            <w:vMerge w:val="continue"/>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27,681,370</w:t>
            </w:r>
          </w:p>
        </w:tc>
        <w:tc>
          <w:tcPr>
            <w:tcW w:w="320" w:type="dxa"/>
            <w:vAlign w:val="bottom"/>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30,000,000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 except for the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3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2460" w:type="dxa"/>
            <w:vAlign w:val="bottom"/>
          </w:tcPr>
          <w:p>
            <w:pPr>
              <w:spacing w:after="0"/>
              <w:rPr>
                <w:sz w:val="21"/>
                <w:szCs w:val="21"/>
                <w:color w:val="auto"/>
              </w:rPr>
            </w:pPr>
          </w:p>
        </w:tc>
        <w:tc>
          <w:tcPr>
            <w:tcW w:w="198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0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5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460" w:type="dxa"/>
            <w:vAlign w:val="bottom"/>
          </w:tcPr>
          <w:p>
            <w:pPr>
              <w:spacing w:after="0"/>
              <w:rPr>
                <w:sz w:val="19"/>
                <w:szCs w:val="19"/>
                <w:color w:val="auto"/>
              </w:rPr>
            </w:pPr>
          </w:p>
        </w:tc>
        <w:tc>
          <w:tcPr>
            <w:tcW w:w="9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19"/>
                <w:szCs w:val="19"/>
                <w:color w:val="auto"/>
              </w:rPr>
            </w:pPr>
          </w:p>
        </w:tc>
        <w:tc>
          <w:tcPr>
            <w:tcW w:w="10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4"/>
        </w:trPr>
        <w:tc>
          <w:tcPr>
            <w:tcW w:w="24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2,261,332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2,361,333</w:t>
            </w:r>
          </w:p>
        </w:tc>
      </w:tr>
      <w:tr>
        <w:trPr>
          <w:trHeight w:val="216"/>
        </w:trPr>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1,211,787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1,211,787</w:t>
            </w: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Capital contribution from</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3,899,999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3,899,999</w:t>
            </w:r>
          </w:p>
        </w:tc>
      </w:tr>
      <w:tr>
        <w:trPr>
          <w:trHeight w:val="230"/>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distribution</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(3,099,999)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(3,099,999)</w:t>
            </w:r>
          </w:p>
        </w:tc>
      </w:tr>
      <w:tr>
        <w:trPr>
          <w:trHeight w:val="209"/>
        </w:trPr>
        <w:tc>
          <w:tcPr>
            <w:tcW w:w="24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30,000,000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3,997,000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373,120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4,373,120</w:t>
            </w:r>
          </w:p>
        </w:tc>
      </w:tr>
      <w:tr>
        <w:trPr>
          <w:trHeight w:val="216"/>
        </w:trPr>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171,597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171,597</w:t>
            </w: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198"/>
        </w:trPr>
        <w:tc>
          <w:tcPr>
            <w:tcW w:w="2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ordinary</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7,350,000</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735</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4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7,350,000</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22,650,000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3,997,000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544,717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4,544,862</w:t>
            </w:r>
          </w:p>
        </w:tc>
      </w:tr>
      <w:tr>
        <w:trPr>
          <w:trHeight w:val="216"/>
        </w:trPr>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(1,750,660)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(1,750,660)</w:t>
            </w: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w:t>
            </w:r>
          </w:p>
        </w:tc>
      </w:tr>
      <w:tr>
        <w:trPr>
          <w:trHeight w:val="230"/>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shares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2,465,000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7,709,110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7,709,357</w:t>
            </w:r>
          </w:p>
        </w:tc>
      </w:tr>
      <w:tr>
        <w:trPr>
          <w:trHeight w:val="210"/>
        </w:trPr>
        <w:tc>
          <w:tcPr>
            <w:tcW w:w="24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65"/>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9,815,000</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22,650,000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11,706,110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(1,205,943)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10,502,766</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460" w:type="dxa"/>
            <w:vAlign w:val="bottom"/>
            <w:gridSpan w:val="4"/>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Uni-Fuels Holdings Limited</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60" w:type="dxa"/>
            <w:vAlign w:val="bottom"/>
            <w:gridSpan w:val="4"/>
          </w:tcPr>
          <w:p>
            <w:pPr>
              <w:jc w:val="center"/>
              <w:ind w:left="369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60" w:type="dxa"/>
            <w:vAlign w:val="bottom"/>
            <w:gridSpan w:val="4"/>
          </w:tcPr>
          <w:p>
            <w:pPr>
              <w:jc w:val="center"/>
              <w:ind w:left="3690"/>
              <w:spacing w:after="0"/>
              <w:rPr>
                <w:sz w:val="20"/>
                <w:szCs w:val="20"/>
                <w:color w:val="auto"/>
              </w:rPr>
            </w:pPr>
            <w:r>
              <w:rPr>
                <w:rFonts w:ascii="Times New Roman" w:cs="Times New Roman" w:eastAsia="Times New Roman" w:hAnsi="Times New Roman"/>
                <w:sz w:val="18"/>
                <w:szCs w:val="18"/>
                <w:b w:val="1"/>
                <w:bCs w:val="1"/>
                <w:color w:val="auto"/>
                <w:w w:val="99"/>
              </w:rPr>
              <w:t>(Expressed in U.S. Dollar )</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(1,750,660)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171,597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1,211,787</w:t>
            </w:r>
          </w:p>
        </w:tc>
      </w:tr>
      <w:tr>
        <w:trPr>
          <w:trHeight w:val="198"/>
        </w:trPr>
        <w:tc>
          <w:tcPr>
            <w:tcW w:w="5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profit to net cash (used in) provided by</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80,783</w:t>
            </w:r>
          </w:p>
        </w:tc>
        <w:tc>
          <w:tcPr>
            <w:tcW w:w="18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74,490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32,275</w:t>
            </w: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Shared based compensation</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42,755</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(1,733)</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8,473</w:t>
            </w: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operating lease expenses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127,297</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94,099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61,406</w:t>
            </w: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(benefit) expenses</w:t>
            </w:r>
          </w:p>
        </w:tc>
        <w:tc>
          <w:tcPr>
            <w:tcW w:w="380" w:type="dxa"/>
            <w:vAlign w:val="bottom"/>
          </w:tcPr>
          <w:p>
            <w:pPr>
              <w:spacing w:after="0"/>
              <w:rPr>
                <w:sz w:val="18"/>
                <w:szCs w:val="18"/>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(5,898)</w:t>
            </w:r>
          </w:p>
        </w:tc>
        <w:tc>
          <w:tcPr>
            <w:tcW w:w="180" w:type="dxa"/>
            <w:vAlign w:val="bottom"/>
          </w:tcPr>
          <w:p>
            <w:pPr>
              <w:spacing w:after="0"/>
              <w:rPr>
                <w:sz w:val="18"/>
                <w:szCs w:val="18"/>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(5,177)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14,339</w:t>
            </w:r>
          </w:p>
        </w:tc>
      </w:tr>
      <w:tr>
        <w:trPr>
          <w:trHeight w:val="216"/>
        </w:trPr>
        <w:tc>
          <w:tcPr>
            <w:tcW w:w="5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(14,797,000)</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1,351,178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(11,719,074)</w:t>
            </w: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380" w:type="dxa"/>
            <w:vAlign w:val="bottom"/>
          </w:tcPr>
          <w:p>
            <w:pPr>
              <w:spacing w:after="0"/>
              <w:rPr>
                <w:sz w:val="18"/>
                <w:szCs w:val="18"/>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(83,152)</w:t>
            </w:r>
          </w:p>
        </w:tc>
        <w:tc>
          <w:tcPr>
            <w:tcW w:w="180" w:type="dxa"/>
            <w:vAlign w:val="bottom"/>
          </w:tcPr>
          <w:p>
            <w:pPr>
              <w:spacing w:after="0"/>
              <w:rPr>
                <w:sz w:val="18"/>
                <w:szCs w:val="18"/>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(84,024)</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(133,851)</w:t>
            </w: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13,205,822</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(1,104,224)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9,773,464</w:t>
            </w: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payables</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71,187</w:t>
            </w:r>
          </w:p>
        </w:tc>
        <w:tc>
          <w:tcPr>
            <w:tcW w:w="180" w:type="dxa"/>
            <w:vAlign w:val="bottom"/>
          </w:tcPr>
          <w:p>
            <w:pPr>
              <w:spacing w:after="0"/>
              <w:rPr>
                <w:sz w:val="18"/>
                <w:szCs w:val="18"/>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(181,412)</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(173,012)</w:t>
            </w: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(144,637)</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(138,287)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(46,053)</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tcPr>
          <w:p>
            <w:pPr>
              <w:spacing w:after="0"/>
              <w:rPr>
                <w:sz w:val="19"/>
                <w:szCs w:val="19"/>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923,752</w:t>
            </w:r>
          </w:p>
        </w:tc>
        <w:tc>
          <w:tcPr>
            <w:tcW w:w="180" w:type="dxa"/>
            <w:vAlign w:val="bottom"/>
          </w:tcPr>
          <w:p>
            <w:pPr>
              <w:spacing w:after="0"/>
              <w:rPr>
                <w:sz w:val="19"/>
                <w:szCs w:val="19"/>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155,336</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4,452</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(2,329,751</w:t>
            </w:r>
          </w:p>
        </w:tc>
        <w:tc>
          <w:tcPr>
            <w:tcW w:w="36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331,843</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(965,794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19"/>
                <w:szCs w:val="19"/>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(36,159)</w:t>
            </w:r>
          </w:p>
        </w:tc>
        <w:tc>
          <w:tcPr>
            <w:tcW w:w="180" w:type="dxa"/>
            <w:vAlign w:val="bottom"/>
          </w:tcPr>
          <w:p>
            <w:pPr>
              <w:spacing w:after="0"/>
              <w:rPr>
                <w:sz w:val="19"/>
                <w:szCs w:val="19"/>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(9,020)</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(427,331)</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(36,159</w:t>
            </w:r>
          </w:p>
        </w:tc>
        <w:tc>
          <w:tcPr>
            <w:tcW w:w="36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(9,020</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(427,331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short-term bank loans</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27,692,651</w:t>
            </w:r>
          </w:p>
        </w:tc>
        <w:tc>
          <w:tcPr>
            <w:tcW w:w="18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14,117,030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7,551,546</w:t>
            </w: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short-term bank loans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(24,987,683)</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(13,801,930)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(6,356,397)</w:t>
            </w:r>
          </w:p>
        </w:tc>
      </w:tr>
      <w:tr>
        <w:trPr>
          <w:trHeight w:val="198"/>
        </w:trPr>
        <w:tc>
          <w:tcPr>
            <w:tcW w:w="5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Payment of offering costs related to Initial Public Offering</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(“IPO”)</w:t>
            </w:r>
          </w:p>
        </w:tc>
        <w:tc>
          <w:tcPr>
            <w:tcW w:w="380" w:type="dxa"/>
            <w:vAlign w:val="bottom"/>
          </w:tcPr>
          <w:p>
            <w:pPr>
              <w:spacing w:after="0"/>
              <w:rPr>
                <w:sz w:val="20"/>
                <w:szCs w:val="20"/>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(1,511,215)</w:t>
            </w:r>
          </w:p>
        </w:tc>
        <w:tc>
          <w:tcPr>
            <w:tcW w:w="180" w:type="dxa"/>
            <w:vAlign w:val="bottom"/>
          </w:tcPr>
          <w:p>
            <w:pPr>
              <w:spacing w:after="0"/>
              <w:rPr>
                <w:sz w:val="20"/>
                <w:szCs w:val="20"/>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(369,283)</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(112,900)</w:t>
            </w: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contribution from shareholder</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IPO</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9,660,000</w:t>
            </w:r>
          </w:p>
        </w:tc>
        <w:tc>
          <w:tcPr>
            <w:tcW w:w="18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from a related party</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678,259</w:t>
            </w:r>
          </w:p>
        </w:tc>
      </w:tr>
      <w:tr>
        <w:trPr>
          <w:trHeight w:val="229"/>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borrowings to a related party</w:t>
            </w:r>
          </w:p>
        </w:tc>
        <w:tc>
          <w:tcPr>
            <w:tcW w:w="380" w:type="dxa"/>
            <w:vAlign w:val="bottom"/>
          </w:tcPr>
          <w:p>
            <w:pPr>
              <w:spacing w:after="0"/>
              <w:rPr>
                <w:sz w:val="19"/>
                <w:szCs w:val="19"/>
                <w:color w:val="auto"/>
              </w:rPr>
            </w:pPr>
          </w:p>
        </w:tc>
        <w:tc>
          <w:tcPr>
            <w:tcW w:w="16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(269,467)</w:t>
            </w:r>
          </w:p>
        </w:tc>
        <w:tc>
          <w:tcPr>
            <w:tcW w:w="180" w:type="dxa"/>
            <w:vAlign w:val="bottom"/>
          </w:tcPr>
          <w:p>
            <w:pPr>
              <w:spacing w:after="0"/>
              <w:rPr>
                <w:sz w:val="19"/>
                <w:szCs w:val="19"/>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(8,534)</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(400,258)</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10,584,286</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(62,717</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2,160,250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380" w:type="dxa"/>
            <w:vAlign w:val="bottom"/>
          </w:tcPr>
          <w:p>
            <w:pPr>
              <w:spacing w:after="0"/>
              <w:rPr>
                <w:sz w:val="18"/>
                <w:szCs w:val="18"/>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8,218,376</w:t>
            </w:r>
          </w:p>
        </w:tc>
        <w:tc>
          <w:tcPr>
            <w:tcW w:w="18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260,106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767,125</w:t>
            </w: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year</w:t>
            </w: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4,324,956</w:t>
            </w:r>
          </w:p>
        </w:tc>
        <w:tc>
          <w:tcPr>
            <w:tcW w:w="1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4,064,850</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3,297,725</w:t>
            </w:r>
          </w:p>
        </w:tc>
      </w:tr>
      <w:tr>
        <w:trPr>
          <w:trHeight w:val="26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restricted cash, end of year</w:t>
            </w: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12,542,539</w:t>
            </w:r>
          </w:p>
        </w:tc>
        <w:tc>
          <w:tcPr>
            <w:tcW w:w="3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4,324,956</w:t>
            </w:r>
          </w:p>
        </w:tc>
        <w:tc>
          <w:tcPr>
            <w:tcW w:w="3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4,064,850</w:t>
            </w:r>
          </w:p>
        </w:tc>
        <w:tc>
          <w:tcPr>
            <w:tcW w:w="100" w:type="dxa"/>
            <w:vAlign w:val="bottom"/>
            <w:tcBorders>
              <w:bottom w:val="single" w:sz="8" w:color="CCEEFF"/>
            </w:tcBorders>
          </w:tcPr>
          <w:p>
            <w:pPr>
              <w:spacing w:after="0"/>
              <w:rPr>
                <w:sz w:val="22"/>
                <w:szCs w:val="22"/>
                <w:color w:val="auto"/>
              </w:rPr>
            </w:pPr>
          </w:p>
        </w:tc>
      </w:tr>
      <w:tr>
        <w:trPr>
          <w:trHeight w:val="196"/>
        </w:trPr>
        <w:tc>
          <w:tcPr>
            <w:tcW w:w="5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4"/>
        </w:trPr>
        <w:tc>
          <w:tcPr>
            <w:tcW w:w="5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cash and restricted cash to the consolidated</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12,542,539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4,324,956</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2,564,850</w:t>
            </w:r>
          </w:p>
        </w:tc>
      </w:tr>
      <w:tr>
        <w:trPr>
          <w:trHeight w:val="230"/>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19"/>
                <w:szCs w:val="19"/>
                <w:color w:val="auto"/>
              </w:rPr>
            </w:pP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1,500,000</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restricted cash</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12,542,539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4,324,956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4,064,850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paid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61,521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284,717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361,841</w:t>
            </w:r>
          </w:p>
        </w:tc>
      </w:tr>
      <w:tr>
        <w:trPr>
          <w:trHeight w:val="243"/>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expenses paid</w:t>
            </w:r>
          </w:p>
        </w:tc>
        <w:tc>
          <w:tcPr>
            <w:tcW w:w="3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89,928</w:t>
            </w:r>
          </w:p>
        </w:tc>
        <w:tc>
          <w:tcPr>
            <w:tcW w:w="18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83,973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18,280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5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w:t>
            </w: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5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Dividend distribution against capital contribution from</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1"/>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3,099,999</w:t>
            </w:r>
          </w:p>
        </w:tc>
      </w:tr>
      <w:tr>
        <w:trPr>
          <w:trHeight w:val="151"/>
        </w:trPr>
        <w:tc>
          <w:tcPr>
            <w:tcW w:w="5400" w:type="dxa"/>
            <w:vAlign w:val="bottom"/>
            <w:tcBorders>
              <w:top w:val="single" w:sz="8" w:color="CCEEFF"/>
            </w:tcBorders>
            <w:shd w:val="clear" w:color="auto" w:fill="CCEEFF"/>
          </w:tcPr>
          <w:p>
            <w:pPr>
              <w:ind w:left="360"/>
              <w:spacing w:after="0" w:line="151" w:lineRule="exact"/>
              <w:rPr>
                <w:sz w:val="20"/>
                <w:szCs w:val="20"/>
                <w:color w:val="auto"/>
              </w:rPr>
            </w:pPr>
            <w:r>
              <w:rPr>
                <w:rFonts w:ascii="Times New Roman" w:cs="Times New Roman" w:eastAsia="Times New Roman" w:hAnsi="Times New Roman"/>
                <w:sz w:val="17"/>
                <w:szCs w:val="17"/>
                <w:color w:val="auto"/>
              </w:rPr>
              <w:t>Operating lease right-of-use assets obtained in exchange for</w:t>
            </w:r>
          </w:p>
        </w:tc>
        <w:tc>
          <w:tcPr>
            <w:tcW w:w="3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61"/>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73,808</w:t>
            </w:r>
          </w:p>
        </w:tc>
        <w:tc>
          <w:tcPr>
            <w:tcW w:w="18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29,338</w:t>
            </w:r>
          </w:p>
        </w:tc>
        <w:tc>
          <w:tcPr>
            <w:tcW w:w="3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259,269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407"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Uni-Fuels Holdings Limited (“Uni-Fuels Holdings”) (“the Company”) is a company incorporated in the Cayman Islands with limited liability on March 8, 2024. Uni-Fuels Holdings is a parent holding company with no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Uni-Fuels Holdings together with its subsidiaries (collectively, “the Group”) operating across Singapore, Seoul, Shanghai, Dubai and Limassol with ship bunkering as its primary business activity. The Group is a global provider of marine fuel solutions to shipping companies, integrating supply logistics and tailored solutions, to help its customers optimize their marine fuel procurement covering all markets across all time zones. The Group primarily generates sales income by selling marine fuels to its customers and receives brokerage commissions by referring shipping companies to its customers through its key operating subsidiaries in Singapore and Dubai.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of the Company include the following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Place of</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3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6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30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Principal activities</w:t>
            </w:r>
          </w:p>
        </w:tc>
      </w:tr>
      <w:tr>
        <w:trPr>
          <w:trHeight w:val="191"/>
        </w:trPr>
        <w:tc>
          <w:tcPr>
            <w:tcW w:w="26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Uni-Fuels Group Inc (“Uni-Fuels</w:t>
            </w: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February 5, 2024</w:t>
            </w: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Cayman Islands</w:t>
            </w:r>
          </w:p>
        </w:tc>
        <w:tc>
          <w:tcPr>
            <w:tcW w:w="2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tcBorders>
            <w:shd w:val="clear" w:color="auto" w:fill="CCEEFF"/>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79"/>
              </w:rPr>
              <w:t>%</w:t>
            </w:r>
          </w:p>
        </w:tc>
        <w:tc>
          <w:tcPr>
            <w:tcW w:w="30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Investment holding company</w:t>
            </w:r>
          </w:p>
        </w:tc>
      </w:tr>
      <w:tr>
        <w:trPr>
          <w:trHeight w:val="234"/>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1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r>
      <w:tr>
        <w:trPr>
          <w:trHeight w:val="198"/>
        </w:trPr>
        <w:tc>
          <w:tcPr>
            <w:tcW w:w="2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Uni-Fuels Pte. Ltd. (“Uni-Fuels”)</w:t>
            </w:r>
          </w:p>
        </w:tc>
        <w:tc>
          <w:tcPr>
            <w:tcW w:w="19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October 12, 2021</w:t>
            </w:r>
          </w:p>
        </w:tc>
        <w:tc>
          <w:tcPr>
            <w:tcW w:w="188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1620" w:type="dxa"/>
            <w:vAlign w:val="bottom"/>
            <w:gridSpan w:val="2"/>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3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Ship bunkering as marine fuels supplier</w:t>
            </w:r>
          </w:p>
        </w:tc>
      </w:tr>
      <w:tr>
        <w:trPr>
          <w:trHeight w:val="234"/>
        </w:trPr>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and broker</w:t>
            </w:r>
          </w:p>
        </w:tc>
      </w:tr>
      <w:tr>
        <w:trPr>
          <w:trHeight w:val="198"/>
        </w:trPr>
        <w:tc>
          <w:tcPr>
            <w:tcW w:w="2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Uni-Fuels Pte. Ltd. Seoul Branch</w:t>
            </w:r>
          </w:p>
        </w:tc>
        <w:tc>
          <w:tcPr>
            <w:tcW w:w="19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March 21, 2024</w:t>
            </w:r>
          </w:p>
        </w:tc>
        <w:tc>
          <w:tcPr>
            <w:tcW w:w="188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South Korea</w:t>
            </w:r>
          </w:p>
        </w:tc>
        <w:tc>
          <w:tcPr>
            <w:tcW w:w="1620" w:type="dxa"/>
            <w:vAlign w:val="bottom"/>
            <w:gridSpan w:val="2"/>
            <w:shd w:val="clear" w:color="auto" w:fill="CCEEFF"/>
          </w:tcPr>
          <w:p>
            <w:pPr>
              <w:jc w:val="right"/>
              <w:ind w:right="290"/>
              <w:spacing w:after="0" w:line="198" w:lineRule="exact"/>
              <w:rPr>
                <w:sz w:val="20"/>
                <w:szCs w:val="20"/>
                <w:color w:val="auto"/>
              </w:rPr>
            </w:pPr>
            <w:r>
              <w:rPr>
                <w:rFonts w:ascii="Times New Roman" w:cs="Times New Roman" w:eastAsia="Times New Roman" w:hAnsi="Times New Roman"/>
                <w:sz w:val="18"/>
                <w:szCs w:val="18"/>
                <w:color w:val="auto"/>
              </w:rPr>
              <w:t>Not applicable</w:t>
            </w:r>
          </w:p>
        </w:tc>
        <w:tc>
          <w:tcPr>
            <w:tcW w:w="3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Ship bunkering and service provider of</w:t>
            </w:r>
          </w:p>
        </w:tc>
      </w:tr>
      <w:tr>
        <w:trPr>
          <w:trHeight w:val="234"/>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fuels solutions</w:t>
            </w:r>
          </w:p>
        </w:tc>
      </w:tr>
      <w:tr>
        <w:trPr>
          <w:trHeight w:val="216"/>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Uni-Fuels (Shanghai) Co., Ltd.</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11, 2025</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China</w:t>
            </w:r>
          </w:p>
        </w:tc>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Sales of petroleum products</w:t>
            </w:r>
          </w:p>
        </w:tc>
      </w:tr>
      <w:tr>
        <w:trPr>
          <w:trHeight w:val="216"/>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Uni-Fuels Middle East FZCO</w:t>
            </w:r>
          </w:p>
        </w:tc>
        <w:tc>
          <w:tcPr>
            <w:tcW w:w="1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14, 2025</w:t>
            </w:r>
          </w:p>
        </w:tc>
        <w:tc>
          <w:tcPr>
            <w:tcW w:w="18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UAE</w:t>
            </w:r>
          </w:p>
        </w:tc>
        <w:tc>
          <w:tcPr>
            <w:tcW w:w="16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supply services</w:t>
            </w: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Uni-Fuels Ltd</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11, 2025</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Cyprus</w:t>
            </w:r>
          </w:p>
        </w:tc>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Service provider of marine fuels solutions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Reorganization was completed on April 18, 2024 through a series of planned transactions. As a result of the Reorganization, the Company has become the holding company for all previously mentioned entities. The primary objective of the Reorganization was to transfer 100% ownership of Uni-Fuels to the Company, enabling the Company to serve as the issuer for its planned initial public offering in the United States.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before the Reorganization, Uni-Fuels was wholly owned and controlled by Koh Kuan Hua and functioned as the operational entity for all the Group’s business activities. The Company and Uni-Fuels Group were established on March 8, 2024, and February 5, 2024, respectively, by a registered agent in the Cayman Islands, with the sole purpose of acting as holding company for the Group. On March 14, 2024, 100% ownership of Uni-Fuels Holdings, which at the time also held 100% ownership interest in Uni-Fuels Group, was transferred from the registered agent to Koh Kuan Hua. Both the Company and Uni-Fuels Group had not engaged in any business activities before the transfer. On April 18, 2024, Koh Kuan Hua transferred 100% ownership interest in Uni-Fuels to the Company, thereby completing the Reorganization.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before and after the Reorganization, the Company, Uni-Fuels Group, and Uni-Fuels remained under the complete ownership and control of Koh Kuan Hua. Consequently, the Reorganization is classified as a common control transaction under ASC 805-50.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15, 2025, the Company consummated its initial public offering (“IPO”) of 2,100,000 Class A Ordinary Shares at an offering price of $4 per share, generating gross proceeds of $8,400,000 with net proceeds of approximately $7,390,000, after deducting estimated underwriting discounts and commissions and estimated offering expenses payable by the Company. The Class A Ordinary Shares were approved for listing on The Nasdaq Capital Market and commenced trading under the ticker symbol “UFG”. On February 4, 2025, the underwriter exercised the over-allotment option in full to purchase 315,000 additional Class A Ordinary Shares from the Company at the public offering price of $4 per share, generating additional gross proceeds</w:t>
      </w:r>
    </w:p>
    <w:p>
      <w:pPr>
        <w:spacing w:after="0" w:line="3" w:lineRule="exact"/>
        <w:rPr>
          <w:sz w:val="20"/>
          <w:szCs w:val="20"/>
          <w:color w:val="auto"/>
        </w:rPr>
      </w:pPr>
    </w:p>
    <w:p>
      <w:pPr>
        <w:jc w:val="both"/>
        <w:ind w:right="20" w:firstLine="103"/>
        <w:spacing w:after="0" w:line="260" w:lineRule="auto"/>
        <w:rPr>
          <w:sz w:val="20"/>
          <w:szCs w:val="20"/>
          <w:color w:val="auto"/>
        </w:rPr>
      </w:pPr>
      <w:r>
        <w:rPr>
          <w:rFonts w:ascii="Times New Roman" w:cs="Times New Roman" w:eastAsia="Times New Roman" w:hAnsi="Times New Roman"/>
          <w:sz w:val="18"/>
          <w:szCs w:val="18"/>
          <w:color w:val="auto"/>
        </w:rPr>
        <w:t>of $1,260,000 with net proceeds of approximately $1,170,000, after deducting estimated underwriting discounts and commissions and estimated offering expenses payable by the Company.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this, the consolidation of the Company and its subsidiaries has been accounted for at historical cost and prepared on the basis as if the aforementioned transactions had become effective as of the beginning of the first period presented in these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(“U.S. GAAP”) and pursuant to the rules and regulations of the Securities Exchange Commission (“SEC”).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the financial statements of the Company and its subsidiaries. All intercompany transactions and balances among the Company and its subsidiaries have been eliminated upon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These estimates and judgments are based on historical information, information that is currently available to the Group and on various other assumptions that the Group believes to be reasonable under the circumstances. Significant estimates required to be made by management include, but not limited to, allowance for credit losses against financial assets and income tax. Actual results could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 from the estimates, and as such, differences could be material to these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and demand deposits, as well as short-term, highly liquid investments with original maturities of three months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are recognized and carried at the original invoiced amount less an allowance for credit losses and do not bear interest. Customers who owed accounts receivables, are granted credit terms based on their credit metrics. The Group adopted ASU No.2016-13 “Financial Instruments — Credit Losses (Topic 326): Measurement of Credit Losses on Financial Instruments” (“ASC Topic 326”) on its accounts receivable, starting from the incorporation date of Uni-Fuels as of October 12, 2021, and records the allowance for credit losses as an offset to accounts receivable, and the estimated credit losses charged to the allowance is classified as “general and administrative” in these consolidated statements of operations and comprehensive income. The Group assesses collectability by reviewing accounts receivable on a collective basis where similar characteristics exist, primarily based on similar business line, service or product offerings and on an individual basis when the Group identifies specific customers with known disputes or collectability issues. In determining the amount of the allowance for credit losses, the Group considers historical collectability based on past due status, the age of the accounts receivable balances, credit quality of the Group’s customers based on ongoing credit evaluations, current economic conditions, reasonable and supportable forecasts of future economic conditions, and other factors that may affect the Group’s ability to collect from customers. Under this accounting guidance, the Group measures credit losses on its accounts receivable using the current expected credit loss model under ASC 326. As of December 31, 2025 and 2024, the Company provided allowance for credit losses of $10,423 and $10,423,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other assets,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Prepayments and other assets are comprised of other receivables and prepaid expenses, including rental deposit, interest receivables and prepaid office supplies. Since the incorporation of Uni-Fuels on October 12, 2021, the Group adopted ASC Topic 326 on its other receivables. The new credit loss guidance replaces the old model for measuring the allowance for credit losses with a model that is based on the expected losses. Under this accounting guidance, the Group measures credit losses on its prepayment and other assets using the current expected credit loss model under ASC 326. As of December 31, 2025 and 2024, the balance of allowance for credit loss against prepayments and other assets was $1,725 and $1,725,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right="670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Leases</w:t>
      </w: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incorporation of Uni-Fuels on October 12, 2021, the Group adopted ASU No. 2016-02, Leases (Topic 842), as amended, which supersedes the lease accounting guidance under Topic 840, and generally requires lessees to recognize operating and financing lease liabilities and corresponding right-of-use assets on the balance sheet and to provide enhanced disclosures surrounding the amount, timing and uncertainty of cash flows arising from leasing arrangements.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is a lessee of non-cancellable operating leases for corporate office premises. The Group determines if an arrangement is a lease at inception. A lease for which substantially all the benefits and risks incidental to ownership remain with the lessor is classified by the lessee as an operating lease. All leases of the Group are currently classified as operating leases. Operating leases are included in operating lease right-of-use (“ROU”) assets, operating lease liabilities on the Group’s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ROU assets represent the Group’s right to use an underlying asset for the lease term and operating lease liabilities represent its obligation to make lease payments arising from the lease. ROU assets and operating lease liabilities are recognized at lease commencement date based on the present value of lease payments over the lease term.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determining the lease term, at lease commencement date, the Group considers options to extend or terminate the lease when it is reasonably certain that it will exercise or not exercise that option. The discount rate used to determine the present value of future lease payments is the Group’s incremental borrowing rate based on the information available at the lease commencement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standard (ASC 842 ) provides practical expedients for an entity’s ongoing accounting. The Group elects to apply short-term lease exception for leases with a lease term of 12 months or less at commencement. Accordingly, ROU assets and operating lease liabilities do not include leases with a lease term of 12 months or less.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also elects to adopt the practical expedient that allows lessee to treat the lease and non-lease components of a lease as a single lease component. Non-lease components include building management fees, utility expenses and property taxes included and payable in the lease contract. These non-lease components are not separated from the lease components to which they relate.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evaluates the impairment of its ROU assets consistently with the approach applied for its other long-lived assets. The Group reviews the recoverability of its long-lived assets when events or changes in circumstances indicate that the carrying value of the assets may not be recoverable. The assessment of possible impairment is based on its ability to recover the carrying value of the assets from the expected undiscounted future pre-tax cash flows of the related operations. As of December 31, 2025 and 2024, the Group did not recognize any impairment loss against its ROU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Depreciation is provided using the straight-line method based on the estimated useful life. The estimated useful lives of property and equipment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3 years</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5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5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5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for repairs and maintenance, which do not materially extend the useful lives of the assets, are expensed as incurred. Expenditures for major renewals and betterments which substantially extend the useful life of assets are capitalized. The cost and related accumulated depreciation of assets disposed of or retired are removed from the accounts, and any resulting gain or loss is reflected in the consolidated statements of operations and comprehensive income under other income or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reviews long-lived assets, including property and equipment and ROU assets, for impairment whenever events or changes in circumstances indicate that the carrying amount of an asset may not be recoverable. Recoverability of assets to be held and used is measured by a comparison of the carrying amount of an asset to the undiscounted future pre-tax cash flows expected to be generated by the asset. If such assets are considered to be impaired, the impairment recognized is measured by the amount by which the carrying amount of the assets exceeds the fair value of the assets. Fair value is generally determined by discounting the cash flows expected to be generated by the asset (asset group), when the market prices are not readily available. The adjusted carrying amount of the asset is the new cost basis and is depreciated over the asset’s remaining useful life. Long-lived assets are grouped with other assets and liabilities at the lowest level for which identifiable cash flows are largely independent of the cash flows of other assets and liabilities. As of December 31, 2025 and 2024, no impairment of long-lived assets was recognized.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IPO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IPO costs consist of incremental costs that are directly attributable to the proposed issuance of equity securities, including underwriting fees, legal fees and other professional fees. These costs are capitalized as deferred offering costs prior to the completion of the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completion of the IPO, such costs are recorded as a deduction from the gross proceeds of the offering and charged against shareholders’ equity.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that are not incremental or not directly attributable to the issuance of equity securities are expensed as incurred in the consolidated statements of operations and comprehensive income. As of December 31, 2025 and 2024, the Group had deferred IPO costs of $nil and $482,183, respectively. The deferred IPO costs were subsequently recorded against the gross proceeds upon the closing of the offering in January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follows the rules and guidance set out under ASC 606, Revenue from Contracts with Customers (“ASC 606”), when recognizing revenue from contracts with customers. The core principle of ASC 606 requires an entity to recognize revenues to depict the transfer of goods or services to customers in an amount that reflects the consideration to which it expects to be entitled in exchange for those goods or services when performance obligations are satisfied. In accordance with ASC 606, revenues are recognized when the Group satisfies the performance obligations by delivering the promised goods or services to the customers, in an amount that reflects the consideration the Group expects to be entitled to in exchange for those goods or services. The following five steps are applied to achieve that core principle: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contract with the customer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identifies each distinct service as a performance obligation. The recognition and measurement of revenues is based on the assessment of individual contract terms. The Group applies a practical expedient to expense costs as incurred for those suffered in order to obtain a contract with a customer when the amortization period would have been one year or less. The Group has no material incremental costs of obtaining contracts with customers that the Group expects the benefit of those costs to be longer than one year, which need to be recognized as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principal revenue streams include: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of marine fuels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enters into a distinct agreement with its customer, through an order confirmation, to sell marine fuels in exchange for sales proceeds. The Group’s promise to sell marine fuels to its customer is considered distinct and is identified as one performance obligation. The Group charges its customer sales proceeds at a fixed amount, which is explicitly stated in the contract through order confirmation and is based on the volume of marine fuels supplied to the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does not simultaneously receive and consume the benefits provided by the Group prior to the delivery of marine fuels. No other services are provided by the Group, and benefits are only realized upon receiving marine fuels. Before the delivery of marine fuels, no assets are created nor is there an enforceable right to payment for completed performance by the Group, as evidenced by the order confirmation. Sales income does not qualify to be recognized over time but is recognized at a point in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obligation to make payment upon fuels delivery and physical possession of marine fuels indicates control over the assets is transferred to customer upon delivery. Furthermore, upon delivery, customer takes on the risks and rewards associated with ownership of the marine fuels and is ready to derive benefits from the assets. Consequently, revenue from the sales of marine fuels is recognized at a point in time when the transaction and the Group’s performance obligation is completed, as evidenced by the delivery of marine fuels.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follows the rules and guidance set out under ASC 606 when determining whether it is acting as a principal or an agent in the contract with its customers. The core principle of ASC 606 requires an entity to determine whether the nature of its promise is a performance obligation to provide the goods or services itself (that is, the entity is a principal) or to arrange for those goods or services to be provided by the other party (that is, the entity is an agent). The following steps are applied to achieve that core principle: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specified goods or services to be provided to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Assess whether it controls each specified good or service before that good or service is transferred to the customer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order confirmation, the Group is solely responsible for the sales of marine fuels it committed to by providing marine fuels with the required grades set out in the agreements with the customers, procuring the relevant supplier, and supplying the required fuels at the designated ports and time, while ensuring the specifications of the marine fuels sold are met to fulfill the promise in the order confirmation. The Group controls the whole process and has an obligation to procure the fulfillment of the conditions. Moreover, the Group controls who the marine fuels may be sold to and has full authority in negotiating and determining the commercial terms with both customers and suppliers on each trade without the consent from other parties. The Group also considers elements of inventory risk that it assumes when assessing whether it controls the marine fuels before they are transferred to the customers.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Group holds the sole primary responsibility for fulfilling the performance obligation and has full discretion over setting prices with its customer in the sales of marine fuels. As the principal in the contract, the Group recognizes revenue at the gross amount to which it is entitled from its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Brokerage commissions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enters into arrangements with its customer by referring marine companies for the sales of marine fuels in exchange for a brokerage commission. These brokerage services that the Group promises to refer marine companies to its customer are considered distinct and constitute a single performance obligation. The commission earned from the brokerage services is fixed and determined at a fixed rate against the volume of marine fuels supplied by its customer to marine companies referred.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does not simultaneously receive and consume the benefits provided by the Group prior to the completion of the transaction. Before the completion of the transaction, no assets are created, nor is there an enforceable right to payment for completed performance by the Group. Brokerage commissions do not qualify to be recognized over time. Revenue from brokerage services is recognized at a point in time, specifically when the transaction is completed and evidenced by the delivery of marine fuels from its customer to marine companies.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follows the rules and guidance set out under ASC 606 when determining whether it is acting as a principal or an agent in the contract with its customers. The core principle of ASC 606 requires an entity to determine whether the nature of its promise is a performance obligation to provide the goods or services itself (that is, the entity is a principal) or to arrange for those goods or services to be provided by the other party (that is, the entity is an agent). The following steps are applied to achieve that core principle: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specified goods or services to be provided to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Assess whether it controls each specified good or service before that service is transferred to the customer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brokerage service arrangements, the Group’s primary responsibility is to refer marine companies to its customer in exchange for a brokerage commission. The customer fully manages sales proceeds from the supply of marine fuels to these companies, with the Group having neither authority over the use of marine fuels nor the ability to influence the terms of trade between marine companies and its customer. Therefore, the supply of marine fuels is directly executed between marine companies and the customer, with the Group playing a limited role, acting solely as an intermediary without control over the trade proceedings.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determines that it does not bear inventory risk. In addition, the Group’s role is restricted to making referrals in exchange for a brokerage fee, and has no authority over pricing of trade between marine companies and its customer, which is predominantly controlled by its customer.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such, the Group does not control the brokerage services provided and acts solely as an agent in the arrangement. It recognizes revenue in the net amount of the brokerage commissions it expects to receive for referring marine companies to its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Sources of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sales of marine fuels and brokerage commissions were recognized at a point in time for the years ended December 31, 2025, 2024 and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generates its revenue through its key operating subsidiaries in Singapore and Dubai. Disaggregated information of revenues by geographic locations, which is based on the locations at which the marine fuels are delivered to the customers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locations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marine fuels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29,771,155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13,339,546</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3,958,669</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3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10,593,903</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4,001,824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3,886,888</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78,485,394</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44,073,880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8,577,514</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3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90,371,606</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58,370,083</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38,692,637</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8,594,496</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6,105,287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1,533,270</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Arab Emirates</w:t>
            </w:r>
          </w:p>
        </w:tc>
        <w:tc>
          <w:tcPr>
            <w:tcW w:w="3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5,558,863</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3,756,984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548,177</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Vietnam</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962,649</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340,174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1,549,407</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Thailand</w:t>
            </w:r>
          </w:p>
        </w:tc>
        <w:tc>
          <w:tcPr>
            <w:tcW w:w="3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3,641,697</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4,693,086</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1,998,602</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Indonesia</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4,365,274</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4,348,622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180,898</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Timor-Leste</w:t>
            </w:r>
          </w:p>
        </w:tc>
        <w:tc>
          <w:tcPr>
            <w:tcW w:w="3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2,553,700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9,057,960</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1,721,256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759,286</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Spain</w:t>
            </w:r>
          </w:p>
        </w:tc>
        <w:tc>
          <w:tcPr>
            <w:tcW w:w="3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7,252,415</w:t>
            </w:r>
          </w:p>
        </w:tc>
        <w:tc>
          <w:tcPr>
            <w:tcW w:w="18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1,123,811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332,559</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15,217,937</w:t>
            </w:r>
          </w:p>
        </w:tc>
        <w:tc>
          <w:tcPr>
            <w:tcW w:w="1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10,752,610</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8,133,873</w:t>
            </w:r>
          </w:p>
        </w:tc>
      </w:tr>
      <w:tr>
        <w:trPr>
          <w:trHeight w:val="20"/>
        </w:trPr>
        <w:tc>
          <w:tcPr>
            <w:tcW w:w="5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263,873,349</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155,180,863</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70,151,780</w:t>
            </w:r>
          </w:p>
        </w:tc>
      </w:tr>
      <w:tr>
        <w:trPr>
          <w:trHeight w:val="216"/>
        </w:trPr>
        <w:tc>
          <w:tcPr>
            <w:tcW w:w="5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Brokerage commissions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211,930</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6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13,539</w:t>
            </w: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209,221</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60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39,895</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6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698</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12,150</w:t>
            </w: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172,702</w:t>
            </w:r>
          </w:p>
        </w:tc>
      </w:tr>
      <w:tr>
        <w:trPr>
          <w:trHeight w:val="209"/>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14,237</w:t>
            </w:r>
          </w:p>
        </w:tc>
        <w:tc>
          <w:tcPr>
            <w:tcW w:w="3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12,150</w:t>
            </w:r>
          </w:p>
        </w:tc>
        <w:tc>
          <w:tcPr>
            <w:tcW w:w="3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633,748</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263,887,586</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155,193,013</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70,785,528</w:t>
            </w:r>
          </w:p>
        </w:tc>
      </w:tr>
      <w:tr>
        <w:trPr>
          <w:trHeight w:val="20"/>
        </w:trPr>
        <w:tc>
          <w:tcPr>
            <w:tcW w:w="5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F-13</w:t>
            </w: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classifies its right to consideration in exchange for goods or services transferred to a customer as either a receivable or a contract asset. A receivable is a right to consideration that is unconditional as compared to a contract asset which is a right to consideration that is conditional upon factors other than the passage of time. The Group recognizes accounts receivable in its consolidated balance sheets when it transfers the goods or performs services in advance of receiving consideration and it has the unconditional right to receive consideration. A contract asset is recorded when the Group has transferred the goods or services to the customer before payment is received or is due, and the Group’s right to consideration is conditional on future performance or other factors in the contract. As of December 31, 2025 and 2024, the Group did not have any contract assets.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are recognized if the Group receives consideration prior to satisfying the performance obligations, which include customer advances and deferred revenue under service arrangements. As of December 31, 2025 and 2024, the Group did not have any contract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primarily consists of the cost of marine fuels and commission fees incurred during the sales and distribution of marine fuels.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Employees of the Group located in Singapore participate in a compulsory retirement benefit scheme, as mandated by local laws. Contributions to this scheme are made by both the Group and its employees, based on certain percentages of the employees’ relevant salary income, which varies by age bracket. These contributions are subject to a monthly income cap, which was SG$6,800 (equivalent to $4,510) effective from January 1, 2024, increased to SG$7,400 (equivalent to $4,908) effective from January 1, 2025. For the years ended December 31, 2025, 2024 and 2023, the total amounts charged to the consolidated statements of operations and comprehensive income for the Group’s contributions were $175,431, $115,511 and $51,692,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borrowing costs are recognized as interest expense in the consolidated statements of operations and comprehensive income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accounts for income taxes under ASC 740, Income Taxes. Provision for income taxes consists of current taxes and deferred taxes.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tax is recognized based on the results for the year as adjusted for items which are non-assessable or disallowed. It is calculated using tax rates that have been enacted or substantively enacted by the balance sheet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from differences between the carrying amount of assets and liabilities in the consolidated financial statements and the corresponding tax basis. Deferred tax is calculated using tax rates that are expected to apply to the period when the asset is realized, or the liability is settled. Deferred tax is charged or credited in the income statement, except when it is related to items credited or charged directly to equity. Deferred tax assets are reduced by a valuation allowance when, in the opinion of management, it is more likely than not that some portion or all of the deferred tax assets will not be realized.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Penalties and interest incurred related to underpayment of income tax are classified as income tax expense in the period incurred. The Group did not have any significant uncertain tax positions nor interest and penalty associated with tax positions as of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Chief Executive Officer and Chief Financial Officer jointly perform the function of the Chief Operating Decision Maker (“CODM”). The CODM reviews financial information presented on a consolidated basis for purposes of making operating decisions, allocating resources, and evaluating financial performance. As such, the Company has determined that it operates as one operating segment. The Company has concluded that consolidated net income is the measure of segment profitability. The CODM assesses performance for the Company, monitors budget versus actual results, and determines how to allocate resources based on consolidated net income as reported in the consolidated statements of operations. There are no other expense categories regularly provided to the CODM that are not already included in the primary financial statements herein.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Comprehensive income is defined as the changes in equity of the Group during a period from transactions and other events and circumstances excluding transactions resulting from investments by owners and distributions to owners. Comprehensive income consists of two components, net income and other comprehensive income. Other comprehensive income refers to revenue, expenses, gains and losses that under U.S. GAAP are recorded as an element of shareholders’ equity but are excluded from net income. For the years ended December 31, 2025, 2024 and 2023, the Group recognized other comprehensive loss of $793, other comprehensive income of $145 and $nil,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is calculated in accordance with ASC 260, Earnings Per Share. Basic earnings per share is computed by dividing net income attributable to each class of ordinary shareholders by the weighted average number of shares of that particular class outstanding during the year.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each class of ordinary shareholders, as adjusted for the effect of dilutive ordinary equivalent shares of that class, if any, by the weighted average number of that particular class of ordinary and dilutive ordinary equivalent shares outstanding during the period. Ordinary equivalent shares consist of the ordinary shares issuable upon the conversion of one class of ordinary shares to another in accordance with the Memorandum and Articles of Association of the Company. Ordinary share equivalents are excluded from the computation of diluted earnings per share if their effects would be anti-dilutive. Basic and diluted earnings per share are presented in the Group’s consolidated statement of comprehensive income.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each Class B ordinary share could be converted any time at the holder’s option into one Class A ordinary share whilst Class A ordinary shares could not be converted into Class B ordinary shares. In addition, holders of both Class A and Class B ordinary shares were entitled to receive dividends paid by the Company at the same rate and had equal rights to the surplus assets of the Company upon its liquidation, as stipulated in the Company’s Memorandum and Articles of Association. These shares ranked pari passu in all other respects. Basic and diluted earnings per share are calculated by referring to the rights and characteristics of these two classes of ordinary shares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Group’s principal place of operations is Singapore. The financial position and results of its operations are determined using the U.S. Dollars (“US$” or “$”), as the functional currency. The Company’s consolidated financial statements are presented in US$. Foreign currency transaction gains and losses are recognized upon settlement of foreign currency transactions. In addition, for unsettled foreign currency transactions, foreign currency transaction gains and losses are recognized for changes between the transaction exchange rates and month-end exchange rates. Foreign currency transaction gains and losses are included in other expense (income) in the consolidated statements of operations and comprehensive income in the period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a financial instrument is defined as the exchange price that would be received from an asset or paid to transfer a liability (as exit price) in the principal or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 Quoted prices in active markets for similar assets and liabilities, or other inputs that are observable for the asset or liability, either directly or indirectly, for substantially the full term of the financial instrument.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financial instruments of the Group comprised primarily cash and cash equivalents, accounts receivable, other assets, borrowings, accounts payable, amounts due to related parties, accrued expenses and other liabilities. The Group concludes that the carrying amounts of these financial instruments approximate their fair values because of the short-term nature of these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of the same party, such as a family member or relative, shareholder, or a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such as legal proceedings and claims arising out of its business, which cover a wide range of matters. Liabilities for contingencies are recorded when it is probable that a liability has been incurred and the amount of the assessment can be reasonably estimated.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is incurred and the amount of the liability can be estimated, then the estimated liability is accrued in the Group’s consolidated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nature of the guarantee would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considers the applicability and impact of all accounting standards updates (“ASUs”). Management periodically reviews new accounting standards that are issued. Under the Jumpstart Our Business Startups Act of 2012, as amended (the “JOBS Act”), the Group meets the definition of an emerging growth company, or EGC, and has elected the extended transition period for complying with new or revised accounting standards, which delays the adoption of these accounting standards until they would apply to private companies.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disaggregation of income statement expenses. ASU 2024-03 is effective for annual periods beginning after December 15, 2026, and interim periods within those annual periods. Early adoption is permitted. The Group’s management does not believe the adoption of ASU 2024-03 will have a material impact on its consolidated financial statements and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the FASB issued ASU 2025-01, Income Statement—Reporting Comprehensive Income—Expense Disaggregation Disclosures (Subtopic 220-40): Clarifying the Effective Date (ASU 2025-01), which clarifies the effective date of ASU 2024-03. ASU 2025-01 is effective for annual periods beginning after December 15, 2026, and interim periods within annual periods beginning after December 15, 2027. Early adoption is permitted. The Group’s management does not believe the adoption of ASU 2025-01 will have a material impact on its consolidated financial statements and disclosures.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which amends guidance on the measurement of credit losses for accounts receivable and contract assets. ASU 2025-05 is effective for annual reporting periods beginning after December 15, 2025, and interim periods within those annual periods. Early adoption is permitted. The Group’s management does not believe the adoption of ASU 2025-05 will have a material impact on its consolidated financial statements and disclosures.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mentioned above, the Group does not believe other recently issued but not yet effective accounting standards, if currently adopted, would have a material effect on the Group’s consolidated balance sheet, consolidated statements of operations and comprehensive loss and consolidated statement of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functional currencies of the Group are US$ and these consolidated financial statements are presented in US$. The Group’s business activities and its assets and liabilities are predominately denominated in the functional currency. The Group is not exposed to significant foreign currency risk as majority of the operations and transactions are denominated in the functional currency.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and credit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credit risks consist of cash and cash equivalents, accounts receivable and other assets. The maximum exposures of such assets to credit risk are their carrying amounts as of the balance sheet dates.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and 2024, $12,487,691 and $4,324,956 were deposited with these banks, respectively. The Group deposits majority of its cash with reputable banks located in Singapore and Dubai. Balances maintained with banks in Singapore are insured under the Deposit Insurance Scheme introduced by the Singapore Deposit Insurance Corporation Limited. The maximum insured amount was SG$75,000 (equivalent to $49,745) until March 31, 2024, after which it was increased to SG$100,000 (equivalent to $66,326) commenced from April 1, 2024, for each depositor at one bank, whilst the balances maintained by the Group may at times exceed the insured limits. Balances maintained with banks in Dubai are insured under the statutory Deposit Guarantee Scheme. The maximum insured amount was AED$100,000 (equivalent to $23,188), for each depositor at one bank, whilst the balances maintained by the Group may at times exceed the insured limits. Cash balances maintained with banks in Singapore and Dubai are not otherwise insured by the Federal Deposit Insurance Corporation or other programs. The Group has not experienced any losses in these bank accounts and management believes that the Group is not exposed to any significant credit risk on cash and restricted cash.</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potentially subject the Company to significant credit risks primarily consist of accounts receivable and other assets. The Group performs regular and ongoing credit assessments of the counterparts’ financial conditions and credit histories. The Group also assesses historical collection trends, aging of receivables and general economic conditions. The Group considers that it has adequate controls over these receivables in order to minimize the related credit risk. As of December 31, 2025, and 2024, the balances of allowance for credit losses were $12,148 and $12,148,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most of the Group’s assets were located in Singapore and Dubai. At the same time, the Group considers that it is exposed to the following concentrations of risk:</w:t>
      </w:r>
    </w:p>
    <w:p>
      <w:pPr>
        <w:spacing w:after="0" w:line="16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customers</w:t>
      </w:r>
    </w:p>
    <w:p>
      <w:pPr>
        <w:spacing w:after="0" w:line="22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no customer accounted for 10% or more of the Group’s revenues. For the year ended December 31, 2024, there was one customer accounting for 10% or more of the Group’s revenues and it accounted for 13% of the Group’s total revenues for that year. For the year ended December 31, 2023, no customer accounted for 10% or more of the Group’s revenues.</w:t>
      </w:r>
    </w:p>
    <w:p>
      <w:pPr>
        <w:spacing w:after="0" w:line="17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no customer accounted for 10% or more of the Group’s total balances of accounts receivable. As of December 31, 2024, there was one customer whose receivables accounted for 10% or more of the Group’s total balances of accounts receivable and it accounted for approximately 12% of the total balances of receivables from customers.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vendors</w:t>
      </w:r>
    </w:p>
    <w:p>
      <w:pPr>
        <w:spacing w:after="0" w:line="225"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one vendor accounted for 10% or more of the Group’s cost of revenues. Cost of revenues charged by the vendor for the year ended December 31, 2025 represented 17% of the Group’s cost of revenues for that year. For the year ended December 31, 2024, one vendor accounted for 10% or more of the Group’s cost of revenues. Cost of revenues charged by the vendor for the year ended December 31, 2024 represented 17% of the Group’s cost of revenues for that year. For the year ended December 31, 2023, one vendor accounted for 10% or more of the Group’s cost of revenues. Cost of revenues charged by the vendor for the year ended December 31, 2023 represented 13% of the Group’s cost of revenues for that year.</w:t>
      </w:r>
    </w:p>
    <w:p>
      <w:pPr>
        <w:spacing w:after="0" w:line="187"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there were two vendors whose payables accounted for 10% or more of the Group’s total balances of accounts payable and they accounted for approximately 16% and 10% of the total balance of accounts payables. As of December 31, 2024, there were three vendors whose payables accounted for 10% or more of the Group’s total balances of accounts payable and they accounted for approximately 16%, 12% and 11% of the total balance of accounts payables,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market interest rates may negatively affect the Group’s financial condition and results of operations. The Group is exposed to floating interest rate risk on bank deposits and trade financing, particularly during periods when the interest rate is expected to change significantly. Nevertheless, given the amounts of bank deposits and bank borrowings in question, the Group considers its interest rate risk not material, and the Group has not used any derivatives to manage or hedge its interest rate risk exposure.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accounts receivable consisted of the following balances: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Third parties</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related to sales of marine fuels</w:t>
            </w:r>
          </w:p>
        </w:tc>
        <w:tc>
          <w:tcPr>
            <w:tcW w:w="1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26,266,112</w:t>
            </w: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11,469,112</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(10,423)</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 third parties, net</w:t>
            </w: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26,255,689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11,458,689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movement of allowance for credit losses is as follows:</w:t>
            </w: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(Reversal of)/Provision for credit losses</w:t>
            </w:r>
          </w:p>
        </w:tc>
        <w:tc>
          <w:tcPr>
            <w:tcW w:w="112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(2,858)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7,873</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ROU Assets and Operating Lease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Group had the following lease arrangements. The lease terms presented below represent the lease periods used for measurement purposes, including non-cancellable periods together with renewal options that the Group is reasonably certain to exercise, in accordance with ASC 842.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lease</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term</w:t>
            </w:r>
          </w:p>
        </w:tc>
      </w:tr>
      <w:tr>
        <w:trPr>
          <w:trHeight w:val="191"/>
        </w:trPr>
        <w:tc>
          <w:tcPr>
            <w:tcW w:w="5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Office at Beach Centre, Singapore</w:t>
            </w:r>
          </w:p>
        </w:tc>
        <w:tc>
          <w:tcPr>
            <w:tcW w:w="22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 years and 2 months from April 1, 2023 to May 31, 2026</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at Seoul, South Korea</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 years from March 4, 2024 to March 3, 2026 (including a 1-year renewal</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option assessed as reasonably certain to be exercised)</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at Shanghai, China</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 years from March 3, 2025 to March 9, 2027</w:t>
            </w: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Amounts recognized in the consolidated balance sheets:</w:t>
            </w:r>
          </w:p>
        </w:tc>
        <w:tc>
          <w:tcPr>
            <w:tcW w:w="55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79,614</w:t>
            </w: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78,281</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104,267</w:t>
            </w: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6,321</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41,011</w:t>
            </w:r>
          </w:p>
        </w:tc>
      </w:tr>
      <w:tr>
        <w:trPr>
          <w:trHeight w:val="263"/>
        </w:trPr>
        <w:tc>
          <w:tcPr>
            <w:tcW w:w="54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84,602</w:t>
            </w:r>
          </w:p>
        </w:tc>
        <w:tc>
          <w:tcPr>
            <w:tcW w:w="320" w:type="dxa"/>
            <w:vAlign w:val="bottom"/>
            <w:tcBorders>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145,278</w:t>
            </w:r>
          </w:p>
        </w:tc>
        <w:tc>
          <w:tcPr>
            <w:tcW w:w="100" w:type="dxa"/>
            <w:vAlign w:val="bottom"/>
            <w:tcBorders>
              <w:bottom w:val="single" w:sz="8" w:color="CCEEFF"/>
            </w:tcBorders>
          </w:tcPr>
          <w:p>
            <w:pPr>
              <w:spacing w:after="0"/>
              <w:rPr>
                <w:sz w:val="22"/>
                <w:szCs w:val="22"/>
                <w:color w:val="auto"/>
              </w:rPr>
            </w:pPr>
          </w:p>
        </w:tc>
      </w:tr>
      <w:tr>
        <w:trPr>
          <w:trHeight w:val="197"/>
        </w:trPr>
        <w:tc>
          <w:tcPr>
            <w:tcW w:w="5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terms (in years)</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3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r>
      <w:tr>
        <w:trPr>
          <w:trHeight w:val="20"/>
        </w:trPr>
        <w:tc>
          <w:tcPr>
            <w:tcW w:w="7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  Information related to operating lease activities during the years ended December 31, 2025, 2024 and 2023 are as follows:</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73,808</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127,297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94,099</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61,406</w:t>
            </w: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operating lease liabilities</w:t>
            </w:r>
          </w:p>
        </w:tc>
        <w:tc>
          <w:tcPr>
            <w:tcW w:w="38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5,995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8,913</w:t>
            </w:r>
          </w:p>
        </w:tc>
        <w:tc>
          <w:tcPr>
            <w:tcW w:w="6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8,410</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expenses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133,292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103,012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6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remaining contractual maturities of lease liabilities, categorized by the years in which such lease liabilities are required to be settled, under operating leases as of December 31,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the year ended December 31,</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79,565</w:t>
            </w: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80" w:type="dxa"/>
            <w:vAlign w:val="bottom"/>
            <w:shd w:val="clear" w:color="auto" w:fill="CCEEFF"/>
          </w:tcPr>
          <w:p>
            <w:pPr>
              <w:spacing w:after="0"/>
              <w:rPr>
                <w:sz w:val="18"/>
                <w:szCs w:val="18"/>
                <w:color w:val="auto"/>
              </w:rPr>
            </w:pPr>
          </w:p>
        </w:tc>
      </w:tr>
      <w:tr>
        <w:trPr>
          <w:trHeight w:val="230"/>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76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85,910</w:t>
            </w:r>
          </w:p>
        </w:tc>
        <w:tc>
          <w:tcPr>
            <w:tcW w:w="80" w:type="dxa"/>
            <w:vAlign w:val="bottom"/>
          </w:tcPr>
          <w:p>
            <w:pPr>
              <w:spacing w:after="0"/>
              <w:rPr>
                <w:sz w:val="19"/>
                <w:szCs w:val="19"/>
                <w:color w:val="auto"/>
              </w:rPr>
            </w:pPr>
          </w:p>
        </w:tc>
      </w:tr>
      <w:tr>
        <w:trPr>
          <w:trHeight w:val="209"/>
        </w:trPr>
        <w:tc>
          <w:tcPr>
            <w:tcW w:w="9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discount rate used to determine the operating lease liabilities as of December 31, 2025 and 2024 was 4.6% and 4.6%, respectively.</w:t>
      </w:r>
    </w:p>
    <w:p>
      <w:pPr>
        <w:sectPr>
          <w:pgSz w:w="11900" w:h="16838" w:orient="portrait"/>
          <w:cols w:equalWidth="0" w:num="1">
            <w:col w:w="11240"/>
          </w:cols>
          <w:pgMar w:left="320" w:top="684" w:right="339" w:bottom="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and 2024, property and equipment, net, consisted of the following:</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87,687</w:t>
            </w:r>
          </w:p>
        </w:tc>
        <w:tc>
          <w:tcPr>
            <w:tcW w:w="100" w:type="dxa"/>
            <w:vAlign w:val="bottom"/>
            <w:gridSpan w:val="2"/>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 and office equipment</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34,933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26,050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65,280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38,004</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284,610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284,610</w:t>
            </w:r>
          </w:p>
        </w:tc>
        <w:tc>
          <w:tcPr>
            <w:tcW w:w="80" w:type="dxa"/>
            <w:vAlign w:val="bottom"/>
          </w:tcPr>
          <w:p>
            <w:pPr>
              <w:spacing w:after="0"/>
              <w:rPr>
                <w:sz w:val="18"/>
                <w:szCs w:val="18"/>
                <w:color w:val="auto"/>
              </w:rPr>
            </w:pPr>
          </w:p>
        </w:tc>
      </w:tr>
      <w:tr>
        <w:trPr>
          <w:trHeight w:val="22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(187,549)</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(106,766)</w:t>
            </w: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284,961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were $80,783, $74,490 and $32,275 for the years ended December 31, 2025, 2024 and 2023,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Prepayments and Other Assets, Net</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65,614</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74,298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GST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128,031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(1,725)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prepayments and other assets, net</w:t>
            </w:r>
          </w:p>
        </w:tc>
        <w:tc>
          <w:tcPr>
            <w:tcW w:w="3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317,537</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234,385</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classified as non-current assets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(1,486)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classified as current assets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316,051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229,928</w:t>
            </w:r>
          </w:p>
        </w:tc>
        <w:tc>
          <w:tcPr>
            <w:tcW w:w="1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movement of allowances for credit losses is as follows:</w:t>
            </w: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80" w:type="dxa"/>
            <w:vAlign w:val="bottom"/>
          </w:tcPr>
          <w:p>
            <w:pPr>
              <w:spacing w:after="0"/>
              <w:rPr>
                <w:sz w:val="19"/>
                <w:szCs w:val="19"/>
                <w:color w:val="auto"/>
              </w:rPr>
            </w:pPr>
          </w:p>
        </w:tc>
        <w:tc>
          <w:tcPr>
            <w:tcW w:w="16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1,125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Borrowings</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and 2024, borrowings consisted of the following:</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financing</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1,215,217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1,510,249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commercial paper</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4,215,217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1,510,249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11, 2024, a financial institution in Singapore, granted the Group banking facilities for 12 months through July 2025, and subsequently on 16 July 2025, extended the banking facilities for 12 months through July 2026, comprising (i) a trade financing facility of US$3,000,000, with an interest rate of 1.65% per annum over the bank’s cost of funds and a financing period of up to 45 days for supplier invoices, and (ii) a foreign exchange facility of US$2,000,000, with a maximum tenor of 3 months. As of December 31, 2025 and 2024, only the trade financing facilities were drawn down, with an outstanding balance of $1,215,217 and $1,510,249, respectively. The outstanding balances as of December 31, 2025 and 2024 were fully repaid on January 16, 2026 and January 21, 2025, respectively. The banking facilities were personally guaranteed by the Company’s Chief Executive Officer.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18, 2025, the Group completed the offering of its 3M USD Commercial Paper Series 002, successfully raising $3,000,000, at an interest rate of 7% per annum for a tenor of 3 months on ADDX, a private market platform regulated by the Monetary Authority of Singapore. The outstanding as of December 31, 2025 was fully repaid on January 14,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significant covenants were noted in the Group’s banking facilities.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weighted average annual interest rates for the trade financing were approximately 6.0%, 8.0% and 9.0%, respectively. Interest expenses for the years ended December 31, 2025, 2024 and 2023, was $165,972, $75,060 and $18,280, respectively and relate solely to trade financing arrangements and the issuance of commercial paper.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555"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established under the laws of Cayman Islands on March 8, 2024. The authorized number of ordinary shares was 500,000,000 shares, par value of US$0.0001 per share, consisting of (i) 450,000,000 Class A ordinary shares with a par value of US$0.0001 each; and (ii) 50,000,000 Class B ordinary shares with a par value of US$0.0001 each. On March 8, 2024, the Company issued 1 Class B ordinary share with a par value of US$0.0001 each.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Class A ordinary share is entitled to exercise one vote for each Class A ordinary held on any and all matters to be voted thereon in a general meeting of shareholders, and each holder of Class B ordinary share is entitled to exercise ten votes for each Class B ordinary share held on any and all matters to be voted thereon in a general meeting of shareholders. Each Class B ordinary share can be converted at the holder’s option into one Class A ordinary share whilst Class A ordinary shares cannot be converted into Class B ordinary shares. Holders of both Class A and Class B ordinary shares are entitled to receive dividends paid by the Company at the same rate and have equal rights to the surplus assets of the Company upon its liquidation, as stipulated in the Company’s Memorandum and Articles of Association. These shares rank pari passu in all other respects.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 2024, the shareholder of the Company resolved to allot 29,999,999 Class B ordinary shares with a par value of US$0.0001 each. Further on September 4, 2024, the holder of Class B ordinary shares converted 6,000,000 Class B ordinary shares into 6,000,000 Class A ordinary shares with par value of US$0.0001 each. Then on September 25, 2024, the holder of Class B ordinary shares further converted 1,350,000 Class B ordinary shares into 1,350,000 Class A ordinary shares with par value of US$0.0001 each. After the allotment of Class B ordinary shares and subsequent conversions into Class A ordinary shares, the Company has 7,350,000 Class A ordinary shares and 22,650,000 Class B ordinary shares in issue.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considered the above allotment of 29,999,999 Class B ordinary shares part of its recapitalization prior to the completion of its initial public offering. This allotment was solely intended to increase the number of shares and represented an adjustment to the Company’s share structure, aimed at realigning its capital structure to facilitate the subsequent issuance of new shares for the IPO. The shares were issued at par value, with no consideration paid. Therefore, the Company considers the allotment of 29,999,999 Class B ordinary shares to be a share split. The Company believed that it is appropriate to reflect the above transactions on a retroactive basis pursuant to ASC 260, Earnings Per Share, ASC 505, Equity and SAB Topic 4C. All shares and per share amounts used herein and in the accompanying audited consolidated financial statements have been retroactively restated to reflect the above transactions. By recognizing the above transactions on a retroactive basis, 30,000,000 Class B ordinary shares were issued and outstanding as of December 31, 2023.</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Contrary to the allotment, the conversions of 6,000,000 and 1,350,000 Class B ordinary shares into Class A ordinary shares were accounted for prospectively and were recognized by the Company on September 4, 2024 and September 25, 2024,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15, 2025, the Company consummated its initial public offering (“IPO”) of 2,100,000 Class A Ordinary Shares. On February 4, 2025, the underwriter exercised the OA Option in full to purchase 315,000 additional Class A Ordinary Shares from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allotted 50,000 Class A ordinary shares with par value of US$0.0001 each to a consultant for services rendered. The shares were valued at $0.86 per share, representing the fair value on the grant date. The transaction was accounted for as equity-classified share-based compensation. Total expense recognized for these services was $42,755, which is included in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contribution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 contributions constitute the capital transactions from shareholders that affected the shareholders’ equity of Uni-Fuels prior to the Reorganization during the year ended December 31, 2024. On June 6, 2023, Uni-Fuels issued and allotted additional 3,899,999 ordinary shares, each with a par value of $1, amounting to a total of $3,899,999. From the total consideration of $3,899,999 derived from this share allotment, $3,099,999 was offset by netting against the dividend distribution of $3,099,999 made by Uni-Fuels to its shareholder at that time. Meanwhile, the remaining balance of $800,000 was received in cash from the shareholder. The whole balance of $3,899,999 has been accounted for as capital contribution from shareholder in these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accumulated other comprehensive income comprises foreign currency differences arising from the translation of the financial statements of foreign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6, 2023, the Group resolved to distribute a dividend of $30.9997 per ordinary share, totaling $3,099,999, to its shareholder. The declared dividend was settled by offsetting against the capital contribution from its shareholder accordingly.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current and applicable laws of Cayman Islands, the Group is not subject to tax on income or capital gains under this jurisdiction. The Group’s income taxes relate primarily to its operations in Singapore. For the year ended December 31, 2025, 2024 and 2023, the income tax expense, deferred tax assets, and deferred tax liabilities associated with the Group’s other subsidiaries were not material to the consolidated financial statements, either individually or in the aggregate.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Uni-Fuels is incorporated in Singapore and is subject to Singapore Corporate Income Tax on its taxable income as reported in their respective statutory financial statements, adjusted in accordance with relevant Singapore tax laws. For the year ended December 31, 2023, Uni-Fuels was eligible under the tax exemption scheme for new start-up companies introduced under Section 43 of the Income Tax Act 1947 of Singapore. For eligible entities under the tax exemption scheme, a 75% exemption on the first SG$100,000 (equivalent to $66,326) of normal chargeable income and a further 50% exemption on the next SG$100,000 (equivalent to $66,326) of normal chargeable income were granted for their first three consecutive years of assessment.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2025, Uni-Fuels was eligible for the partial tax exemption scheme introduced under Section 43 of the Income Tax Act 1947 of Singapore. For eligible entities under the partial tax exemption scheme, a 75% exemption on the first SG$10,000 (equivalent to $6,633) of normal chargeable income and a further 50% exemption on the next SG$100,000 (equivalent to $66,326) of normal chargeable income were granted. For any other entities, the applicable income tax rate is 17% on the entire chargeable income.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and deferred portions of the income tax expense included in the consolidated statements of operations and comprehensive income as determined in accordance with ASC 740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103,305</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180,024</w:t>
            </w:r>
          </w:p>
        </w:tc>
        <w:tc>
          <w:tcPr>
            <w:tcW w:w="100" w:type="dxa"/>
            <w:vAlign w:val="bottom"/>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(5,898)</w:t>
            </w:r>
          </w:p>
        </w:tc>
        <w:tc>
          <w:tcPr>
            <w:tcW w:w="18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(5,177)</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14,339</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difference between the expected income tax expense computed at Singapore income tax rate of 17% and the Group’s reported income tax expense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5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(Loss)/Income before income tax expense</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(1,616,654)</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269,725</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1,406,150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Applicable income tax rate</w:t>
            </w:r>
          </w:p>
        </w:tc>
        <w:tc>
          <w:tcPr>
            <w:tcW w:w="36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applicable income tax 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(274,831)</w:t>
            </w:r>
          </w:p>
        </w:tc>
        <w:tc>
          <w:tcPr>
            <w:tcW w:w="1500" w:type="dxa"/>
            <w:vAlign w:val="bottom"/>
            <w:gridSpan w:val="2"/>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45,853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239,046</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Bank fees</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 Consultancy and professional fees</w:t>
            </w:r>
          </w:p>
        </w:tc>
        <w:tc>
          <w:tcPr>
            <w:tcW w:w="3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36,494</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4,839</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 Entertainment expenses</w:t>
            </w:r>
          </w:p>
        </w:tc>
        <w:tc>
          <w:tcPr>
            <w:tcW w:w="3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Others</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11,434</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not subject to tax</w:t>
            </w:r>
          </w:p>
        </w:tc>
        <w:tc>
          <w:tcPr>
            <w:tcW w:w="3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(2,777)</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True up adjustments for taxes for prior year</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19,925</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12,280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Difference from the effect of tax rates in a foreign jurisdiction</w:t>
            </w:r>
          </w:p>
        </w:tc>
        <w:tc>
          <w:tcPr>
            <w:tcW w:w="3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373,077</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70,502</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 exemption scheme and tax reduction</w:t>
            </w:r>
          </w:p>
        </w:tc>
        <w:tc>
          <w:tcPr>
            <w:tcW w:w="3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(36,932)</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(41,284)</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(43,945)</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134,006</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98,128</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194,363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measures deferred tax assets and liabilities based on the difference between the financial statement and tax bases of assets and liabilities at the applicable tax rates. Components of the Group’s deferred tax assets and liabilities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w:t>
            </w:r>
          </w:p>
        </w:tc>
        <w:tc>
          <w:tcPr>
            <w:tcW w:w="372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2,065</w:t>
            </w:r>
          </w:p>
        </w:tc>
        <w:tc>
          <w:tcPr>
            <w:tcW w:w="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2,065</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6,538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21,732</w:t>
            </w:r>
          </w:p>
        </w:tc>
      </w:tr>
      <w:tr>
        <w:trPr>
          <w:trHeight w:val="229"/>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2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1,807</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1,726</w:t>
            </w:r>
          </w:p>
        </w:tc>
      </w:tr>
      <w:tr>
        <w:trPr>
          <w:trHeight w:val="209"/>
        </w:trPr>
        <w:tc>
          <w:tcPr>
            <w:tcW w:w="45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72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10,410</w:t>
            </w:r>
          </w:p>
        </w:tc>
        <w:tc>
          <w:tcPr>
            <w:tcW w:w="8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25,523</w:t>
            </w:r>
          </w:p>
        </w:tc>
      </w:tr>
      <w:tr>
        <w:trPr>
          <w:trHeight w:val="197"/>
        </w:trPr>
        <w:tc>
          <w:tcPr>
            <w:tcW w:w="45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6"/>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8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bl>
    <w:p>
      <w:pPr>
        <w:sectPr>
          <w:pgSz w:w="11900" w:h="16900" w:orient="portrait"/>
          <w:cols w:equalWidth="0" w:num="1">
            <w:col w:w="11240"/>
          </w:cols>
          <w:pgMar w:left="320" w:top="684" w:right="3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(19,718)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(12,755)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1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Movement of the Group’s deferred tax (liabilities) assets during the years is as follows:</w:t>
            </w: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Credited/(Charged) to the consolidated statements of operations and</w:t>
            </w: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140" w:type="dxa"/>
            <w:vAlign w:val="bottom"/>
          </w:tcPr>
          <w:p>
            <w:pPr>
              <w:spacing w:after="0"/>
              <w:rPr>
                <w:sz w:val="21"/>
                <w:szCs w:val="21"/>
                <w:color w:val="auto"/>
              </w:rPr>
            </w:pPr>
          </w:p>
        </w:tc>
        <w:tc>
          <w:tcPr>
            <w:tcW w:w="9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5,898</w:t>
            </w:r>
          </w:p>
        </w:tc>
        <w:tc>
          <w:tcPr>
            <w:tcW w:w="380" w:type="dxa"/>
            <w:vAlign w:val="bottom"/>
          </w:tcPr>
          <w:p>
            <w:pPr>
              <w:spacing w:after="0"/>
              <w:rPr>
                <w:sz w:val="21"/>
                <w:szCs w:val="21"/>
                <w:color w:val="auto"/>
              </w:rPr>
            </w:pPr>
          </w:p>
        </w:tc>
        <w:tc>
          <w:tcPr>
            <w:tcW w:w="13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5,177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(14,339)</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relevant Singapore tax laws, tax cases are normally subject to investigation by the tax authority for up to 4 years of assessment prior to the current year of assessment for Corporate Income Tax, and 5 years from the end of the prescribed accounting period for Goods and Services Tax. As of December 31, 2025, Corporate Income Tax returns for the years of assessment 2023, 2024 and 2025 remain open for statutory examination and the Group had no open tax investigations from the tax authority.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 and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Nature of relationships with related parties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r>
      <w:tr>
        <w:trPr>
          <w:trHeight w:val="191"/>
        </w:trPr>
        <w:tc>
          <w:tcPr>
            <w:tcW w:w="55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Goh Wee Huan</w:t>
            </w:r>
          </w:p>
        </w:tc>
        <w:tc>
          <w:tcPr>
            <w:tcW w:w="220" w:type="dxa"/>
            <w:vAlign w:val="bottom"/>
            <w:tcBorders>
              <w:top w:val="single" w:sz="8" w:color="CCEEFF"/>
            </w:tcBorders>
            <w:shd w:val="clear" w:color="auto" w:fill="CCEEFF"/>
          </w:tcPr>
          <w:p>
            <w:pPr>
              <w:spacing w:after="0"/>
              <w:rPr>
                <w:sz w:val="16"/>
                <w:szCs w:val="16"/>
                <w:color w:val="auto"/>
              </w:rPr>
            </w:pPr>
          </w:p>
        </w:tc>
        <w:tc>
          <w:tcPr>
            <w:tcW w:w="5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Controlling shareholder and a director of Uni-Fuels from December 22,</w:t>
            </w:r>
          </w:p>
        </w:tc>
      </w:tr>
      <w:tr>
        <w:trPr>
          <w:trHeight w:val="234"/>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 to December 8, 2023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Koh Kuan Hua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Controlling shareholder and director of the Company</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Garden City Private Capital Limited</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Major shareholder of the Company and wholly owned by Koh Kuan Hua</w:t>
            </w: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Sea Oil Petroleum Pte. Ltd.</w:t>
            </w:r>
          </w:p>
        </w:tc>
        <w:tc>
          <w:tcPr>
            <w:tcW w:w="57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Under significant influence of Koh Kuan Hua from January 1, 2022 to</w:t>
            </w:r>
          </w:p>
        </w:tc>
      </w:tr>
      <w:tr>
        <w:trPr>
          <w:trHeight w:val="234"/>
        </w:trPr>
        <w:tc>
          <w:tcPr>
            <w:tcW w:w="552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October 31, 2023</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 Transactions with related parties</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vMerge w:val="continue"/>
          </w:tcPr>
          <w:p>
            <w:pPr>
              <w:spacing w:after="0"/>
              <w:rPr>
                <w:sz w:val="19"/>
                <w:szCs w:val="19"/>
                <w:color w:val="auto"/>
              </w:rPr>
            </w:pPr>
          </w:p>
        </w:tc>
        <w:tc>
          <w:tcPr>
            <w:tcW w:w="28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 Pte. Ltd.</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marine fuels</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2,184,911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 Pte. Ltd.</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Brokerage commissions</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491,269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 Pte. Ltd.</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marine fuels</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8,839,579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Goh Wee Huan</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from a related party</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678,259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Garden City Private Capital Limited</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to a shareholder</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8,534</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4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the year ended December 31, 2023 represented proceeds from sales of marine fuels to and cost of marine fuels purchased from the related party. The Group engaged in reciprocal transactions with the related party, encompassing both the sale and purchase of marine fuels. These transactions were conducted based on advantageous positioning, with each party utilizing their relative strengths in specific marine fuels products across various ports for each transaction at the time.</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for the year ended December 31, 2023 represented brokerage commissions generated from the related party.</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represented advances from the shareholder for operational purposes during the year ended December 31, 2023. The advances were unsecured, non-interest bearing, and repayable on demand. Out of the total advances of $678,259, $400,258 was repaid by the Group in 2024, leaving $269,467 outstanding as at December 31, 2024. The balances were subsequently assigned by Goh Wee Huan to Koh Kuan Hua, coinciding with the transfer of ownership in the Uni-Fuels from Goh Wee Huan to Koh Kuan Hua on December 8, 2023.</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represented advances to a shareholder during the year ended December 31, 2024. The advances were unsecured, non-interest bearing, and repayable on demand.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 Balance with related parties</w:t>
            </w:r>
          </w:p>
        </w:tc>
        <w:tc>
          <w:tcPr>
            <w:tcW w:w="3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0" w:type="dxa"/>
            <w:vAlign w:val="bottom"/>
            <w:tcBorders>
              <w:bottom w:val="single" w:sz="8" w:color="CCEEFF"/>
            </w:tcBorders>
          </w:tcPr>
          <w:p>
            <w:pPr>
              <w:spacing w:after="0"/>
              <w:rPr>
                <w:sz w:val="19"/>
                <w:szCs w:val="19"/>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37"/>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Koh Kuan Hua</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14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269,467</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left="340" w:right="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as of December 31, 2024 represented the advances from the shareholder for operational purposes and was assigned by Goh Wee Huan to Koh Kuan Hua. The balances were unsecured, non-interest bearing and repayable on demand.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Group had neither significant financial nor capital commitment.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Group was not a party to any legal or administrative proceedings. The Group further concludes that there were no legal or regulatory proceedings, either individually or in the aggregate, that could have resulted in an unfavorable outcome with a material adverse effect on the Group’s results of operations, consolidated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uses the management approach to determine reportable operating segments. The management approach considers the internal organization and reporting used by the Company’s CODM, specifically the Group’s CEO and CFO, for making decisions, allocating resources and assessing performance.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does not distinguish revenues, costs and expenses between segments in its internal reporting, but instead reports costs and expenses by nature as a whole. Based on the management’s assessment, the Group determines that it has only one operating segment and therefore one reportable segment as defined by ASC 280. Furthermore, the majority of the Group’s revenue are derived in or from Singapore with substantial operation being carried out in Singapore. Therefore, no geographical segments are presented. The Group concludes that it has only one reportable segment. As such, all financial segment information required by the authoritative guidance can be found in these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has evaluated subsequent events through April 22, 2026, the date the consolidated financial statements were available to be issued. The Group has identified the following subsequent events that require disclosure in the consolidated financial statements.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17, 2026, the Group completed the offering of its 3M USD Commercial Paper Series 003, successfully raising $3,000,000, at an interest rate of 6.5% per annum for a tenor of 3 months through ADDX, a private market platform regulated by the Monetary Authority of Singapore.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17, 2026, the Group completed the offering of its 3M USD Commercial Paper Series 004, successfully raising $3,000,000, at an interest rate of 6.25% per annum for a tenor of 3 months through ADDX, a private market platform regulated by the Monetary Authority of Singapore.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of the Group’s 3M USD Commercial Paper Series 003 was fully repaid on April 17, 2026.</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December 31, 2025, geopolitical tensions in the Middle East have escalated, resulting in increased volatility in global oil prices and potential disruptions to marine fuel supply and shipping routes. The Group is continuing to monitor the situation and assess its potential impact on its operations, financial position, and cash flows. As of the date of issuance of these consolidated financial statements, the Group has not experienced significant disruptions to its operations; however, the ultimate impact of these events remains uncertain.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2026-04-22T08:09:24Z</dcterms:created>
  <dcterms:modified xsi:type="dcterms:W3CDTF">2026-04-22T08:09:24Z</dcterms:modified>
</cp:coreProperties>
</file>