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001-42469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the board of directors (the “Board”) of Uni-Fuels Holdings Limited (the “Company”) passed written resolutions approving and recommending to shareholders of the Company a share consolidation of the Company’s authorized, issued and outstanding Class A ordinary shares, par value US$0.0001 per share, and Class B ordinary shares, par value US$0.0001 per share on a 1-for-10 basis (the “Share Consolidation”) and approving the form of written resolutions of shareholders to effect the Share Consolidation.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the Company circulated and mailed the written resolutions of shareholders to the Company’s shareholders of record. Only the legal owners of record registered in the Company’s register of members maintained by the Company’s transfer agent were entitled to receive and execute the written resolutions of shareholders. Pursuant to Article 8.1(b) and Article 11.16 of the third amended and restated memorandum and articles of association of the Company, the shareholders of the Company representing a majority of the votes entitled to be cast on the resolution passed an ordinary resolution in writing without holding a meeting, approving the Share Consolidation (“Written Resolutions of Shareholders”), with such Written Resolutions of Shareholders taking effect upon being passed.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 Consolidation, every ten (10) issued and unissued Class A ordinary shares of par value US$0.0001 each will be consolidated into one (1) Class A ordinary share of par value US$0.001 each, and every ten (10) issued and unissued Class B ordinary shares of par value US$0.0001 each will be consolidated into one (1) Class B ordinary share of par value US$0.001 each, and such consolidated shares shall have the same rights and be subject to the same restrictions (save as to par value) as the existing shares of such class as set out in the Company’s current memorandum and articles of association. No fractional shares will be issued in connection with the Share Consolidation, and any fractional entitlements will be rounded up to the next whole share. Following completion of the Share Consolidation, the Company’s authorized share capital will be US$500,000 divided into (a) 450,000,000 Class A ordinary shares of par value US$0.001 each and (b) 50,000,000 Class B ordinary shares of par value US$0.001 each.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announce the market effective date of the Share Consolidation separately.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changes in political, social and economic conditions, the regulatory environment, laws and regulations and interpretation thereof in the jurisdictions where we conduct business or expect to conduct business , the risk that we may be unable to realize our anticipated growth strategies and expected internal growth, changes in the availability and cost of professional staff which we require to operate our business, changes in customers’ preferences and needs, changes in competitive conditions and our ability to compete under such conditions, changes in our future capital needs and the availability of financing and capital to fund such needs, changes in currency exchange rates or interest rates, projections of revenue, profits, earnings, capital structure and other financial items, changes in our plan to enter into certain new business sectors and other factors beyond our control and other risks contained in reports filed by the Company with the SEC. Further information regarding these and other risks is included in the Company’s filings with the SEC. All information provided in this report and in the attachments is as of the date of this report, and the Company undertakes no obligation to update any forward-looking statement, except as required under applicable law.</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both"/>
        <w:rPr>
          <w:caps w:val="false"/>
          <w:smallCaps w:val="false"/>
        </w:rPr>
      </w:pPr>
      <w:r>
        <w:rPr>
          <w:caps w:val="false"/>
          <w:smallCaps w:val="false"/>
        </w:rPr>
        <w:t> </w:t>
      </w:r>
    </w:p>
    <w:tbl>
      <w:tblPr>
        <w:tblW w:w="4989" w:type="dxa"/>
        <w:jc w:val="left"/>
        <w:tblInd w:w="0" w:type="dxa"/>
        <w:tblLayout w:type="fixed"/>
        <w:tblCellMar>
          <w:top w:w="0" w:type="dxa"/>
          <w:left w:w="0" w:type="dxa"/>
          <w:bottom w:w="0" w:type="dxa"/>
          <w:right w:w="0" w:type="dxa"/>
        </w:tblCellMar>
      </w:tblPr>
      <w:tblGrid>
        <w:gridCol w:w="1925"/>
        <w:gridCol w:w="668"/>
        <w:gridCol w:w="2396"/>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0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906</Words>
  <Characters>5105</Characters>
  <CharactersWithSpaces>6012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