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October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001-42469</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Uni-Fuels Holdings Limited</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 Temasek Boulevard, Suntec Tower 2 #19-03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038989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of foreign private issuer on Form 6-K (this “Report”) is hereby incorporated by reference in the registration statements of Uni-Fuels Holdings Limited on Form F-3 (No. 333-292786) and Form S-8 (No. 333-298780), to the extent not superseded by documents or reports subsequently filed or furnished.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Entry into At the Market Offering Agreement</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October 23, 2026, Uni-Fuels Holdings Limited (the “Company”) entered into an At the Market Offering Agreement (the “Sales Agreement”) with Rodman &amp; Renshaw LLC (the “Manager”) with respect to an at-the-market offering program (the “Offering Program”) under which the Company may offer and sell, from time to time at its sole discretion, class A ordinary shares of the Company, par value $0.001 per share (the “Ordinary Shares” or “Shares”), through or to the Manager, as the sales agent or principal.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issuance and sale, if any, of the Shares by the Company under the Sales Agreement will be made pursuant to the Company’s registration statement on Form F-3, as amended (No. 333-292786), and prospectus supplement related to the Offering Program filed with the Securities and Exchange Commission on October 23, 2026 (the “Prospectus Supplement”). The maximum dollar amount that may be sold under the Sales Agreement shall not exceed the lesser of (a) the number or dollar amount of Ordinary Shares registered on the Prospectus Supplement, pursuant to which the offering is being made, (b) the number of authorized but unissued Ordinary Shares (less the number of Ordinary Shares issuable upon exercise, conversion or exchange of any outstanding securities of the Company or otherwise reserved from the Company’s authorized share capital), and (c) the number or dollar amount of Ordinary Shares that would cause the Company or the offering of the Shares to not satisfy the eligibility and transaction requirements for use of Form F-3, including, if applicable, General Instruction I.B.5 of Registration Statement on Form F-3.</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Sales Agreement, the Manager may sell the Shares by any method permitted by law deemed to be an “at the market” offering as defined in Rule 415 of the Securities Act of 1933, as amended, including, without limitation, sales made through The Nasdaq Capital Market for the Ordinary Shares. The Manager will use commercially reasonable efforts to sell the Shares from time to time, based upon instructions from the Company (including any price, time or size limits or other customary parameters or conditions the Company may impose), subject to the limitations abovementioned.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pay the Manager a placement fee in an amount equal to three percent (3.0%) of the gross sales price of the Ordinary Shares sold under the Sales Agreement. The foregoing rate of compensation shall not apply when the Manager acts as principal, in which case the Company may sell Shares to the Manager as principal at a price agreed upon at the relevant applicable time pursuant to a terms agreement. The remaining proceeds, after deduction of the placement fee and deduction of any transaction fees imposed by any clearing firm, execution broker, or governmental or self-regulatory organization in respect of such sales, shall constitute the net proceeds to the Company for such Shares sold.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also agreed to reimburse the Manager for the reasonable and documented fees and expenses of its counsel in an amount not to exceed US$75,000, payable upon the execution of the Sales Agreement, excluding periodic due diligence fees. In addition, the Company agreed to reimburse the Manager for the fees of its counsel in connection with each periodic due diligence update session, up to a maximum of US$5,000 for each update in connection with the filing of our Annual Report on Form 20-F and US$3,500 for each other applicable update, plus incidental reasonable and documented expenses. The Company has made certain customary representations, warranties and covenants concerning the Company and its Ordinary Shares in the Sales Agreement and has also provided the Manager with customary indemnification and contribution rights.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not obligated to make any sales of Shares under the Sales Agreement and there is no guarantee that any such sales will be completed. The offering of Shares pursuant to the Sales Agreement will terminate upon the earlier of (i) the sale of all Shares subject to the Sales Agreement or (ii) termination of the Sales Agreement in accordance with its terms.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Sales Agreement is qualified in its entirety by reference to the full text of the Sales Agreement, which is filed as Exhibit 1.1 to this Report and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use the net proceeds from any issuances through the Offering Program for working capital and general corporate purposes, which may include supporting trade credit and financing for our marine fuels sales business, expanding our operations in new and existing markets, and potential acquisitions of, or investments in, complementary businesses.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Report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01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At the Market Offering Agreement dated October 23, 2026, by and between Uni-Fuels Holdings Limited and Rodman &amp; Renshaw LLC</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97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Opinion of Ogier</w:t>
            </w:r>
          </w:p>
        </w:tc>
        <w:tc>
          <w:tcPr>
            <w:tcW w:w="360" w:type="dxa"/>
            <w:vAlign w:val="bottom"/>
          </w:tcPr>
          <w:p>
            <w:pPr>
              <w:spacing w:after="0"/>
              <w:rPr>
                <w:sz w:val="17"/>
                <w:szCs w:val="17"/>
                <w:color w:val="auto"/>
              </w:rPr>
            </w:pP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Kuan Hua,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Kuan Hua, Koh</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October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THE MARKET OFFERING AGREEMENT</w:t>
      </w:r>
    </w:p>
    <w:p>
      <w:pPr>
        <w:spacing w:after="0" w:line="229"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October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Rodman &amp; Renshaw LLC</w:t>
      </w:r>
    </w:p>
    <w:p>
      <w:pPr>
        <w:spacing w:after="0" w:line="205" w:lineRule="auto"/>
        <w:rPr>
          <w:sz w:val="20"/>
          <w:szCs w:val="20"/>
          <w:color w:val="auto"/>
        </w:rPr>
      </w:pPr>
      <w:r>
        <w:rPr>
          <w:rFonts w:ascii="Times New Roman" w:cs="Times New Roman" w:eastAsia="Times New Roman" w:hAnsi="Times New Roman"/>
          <w:sz w:val="18"/>
          <w:szCs w:val="18"/>
          <w:color w:val="auto"/>
        </w:rPr>
        <w:t>600 Lexington Avenue, 32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Uni-Fuels Holdings Limited, an exempted company incorporated in the Cayman Islands with limited liability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Rodman &amp; Renshaw LLC and its successors and permitted assigns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as follows:</w:t>
      </w:r>
    </w:p>
    <w:p>
      <w:pPr>
        <w:spacing w:after="0" w:line="162" w:lineRule="exact"/>
        <w:rPr>
          <w:sz w:val="20"/>
          <w:szCs w:val="20"/>
          <w:color w:val="auto"/>
        </w:rPr>
      </w:pPr>
    </w:p>
    <w:p>
      <w:pPr>
        <w:ind w:left="1300" w:right="1260" w:hanging="644"/>
        <w:spacing w:after="0" w:line="500" w:lineRule="auto"/>
        <w:tabs>
          <w:tab w:leader="none" w:pos="8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and any Terms Agreement, shall have the meanings indicated.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shall have the meaning ascribed to such term in Section 4(m).</w:t>
      </w:r>
    </w:p>
    <w:p>
      <w:pPr>
        <w:spacing w:after="0" w:line="1" w:lineRule="exact"/>
        <w:rPr>
          <w:rFonts w:ascii="Times New Roman" w:cs="Times New Roman" w:eastAsia="Times New Roman" w:hAnsi="Times New Roman"/>
          <w:sz w:val="18"/>
          <w:szCs w:val="18"/>
          <w:color w:val="auto"/>
        </w:rPr>
      </w:pPr>
    </w:p>
    <w:p>
      <w:pPr>
        <w:ind w:left="1300" w:right="4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Securities Act of 1933, as amended, and the rules and regulations of the Commission promulgated thereunder.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3(p).</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ascribed to such term in Section 3(o).</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shall mean, with respect to any Shares, the time of sale of such Shares pursuant to this Agreement or any relevant Terms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base prospectus contained in the Registration Statement at the Execution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shall have the meaning ascribed to such term in Section 3(qq).</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have the meaning ascribed to such term in Section 2(b)(iii).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Broker Fee</w:t>
      </w:r>
      <w:r>
        <w:rPr>
          <w:rFonts w:ascii="Times New Roman" w:cs="Times New Roman" w:eastAsia="Times New Roman" w:hAnsi="Times New Roman"/>
          <w:sz w:val="18"/>
          <w:szCs w:val="18"/>
          <w:color w:val="auto"/>
        </w:rPr>
        <w:t>” shall have the meaning ascribed to such term in Section 2(b)(v).</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shall mean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clarity,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Cayman Counsel</w:t>
      </w:r>
      <w:r>
        <w:rPr>
          <w:rFonts w:ascii="Times New Roman" w:cs="Times New Roman" w:eastAsia="Times New Roman" w:hAnsi="Times New Roman"/>
          <w:sz w:val="18"/>
          <w:szCs w:val="18"/>
          <w:color w:val="auto"/>
        </w:rPr>
        <w:t>” shall have the meaning ascribed to such term in Section 4(l).</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U.S. Counsel</w:t>
      </w:r>
      <w:r>
        <w:rPr>
          <w:rFonts w:ascii="Times New Roman" w:cs="Times New Roman" w:eastAsia="Times New Roman" w:hAnsi="Times New Roman"/>
          <w:sz w:val="18"/>
          <w:szCs w:val="18"/>
          <w:color w:val="auto"/>
        </w:rPr>
        <w:t>” shall have the meaning ascribed to such term in Section 4(l).</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shall have the meaning ascribed to such term in Section 2(b)(vii).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shall have the meaning ascribed to such term in Section 2(b)(ix).</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and any post-effective amendment or amendments thereto became or becomes effective.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have the meaning ascribed to such term in Section 3(s).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3(y).</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shall have the meaning ascribed to such term in Section 3(qq).</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shall have the meaning ascribed to such term in Section 3(e).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shall mean a free writing prospectus, as defined in Rule 405.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3(m).</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have the meaning ascribed to such term in Section 3(s).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shall mean the documents or portions thereof filed with the Commission on or prior to the Effective Date that are incorporated by reference in the Registration Statement or the Prospectus and any documents or portions thereof filed with the Commission after the Effective Date that are deemed to be incorporated by reference in the Registration Statement or the Prospectus.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3(ee).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3(v).</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shall mean an issuer free writing prospectus, as defined in Rule 433.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shall have the meaning ascribed to such term in Section 3(mm).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shall have the meaning ascribed to such term in Section 3(a).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ascribed to such term in Section 7(d).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ascribed to such term in Section 3(b).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shall have the meaning ascribed to such term in Section 3(rr).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shall have the meaning ascribed to such term in Section 2(b)(v).</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 Equivalents</w:t>
      </w:r>
      <w:r>
        <w:rPr>
          <w:rFonts w:ascii="Times New Roman" w:cs="Times New Roman" w:eastAsia="Times New Roman" w:hAnsi="Times New Roman"/>
          <w:sz w:val="18"/>
          <w:szCs w:val="18"/>
          <w:color w:val="auto"/>
        </w:rPr>
        <w:t>” shall have the meaning ascribed to such term in Section 3(g).</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shall have the meaning ascribed to such term in Section 4(g).</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have the meaning ascribed to such term in Section 3(e).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shall have the meaning ascribed to such term in Section 2(c).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have the meaning ascribed to such term in Section 3(b).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Base Prospectus, as supplemented by the most recently filed Prospectus Supplement (if 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each prospectus supplement relating to the Shares prepared and filed pursuant to Rule 424(b) from time to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shall have the meaning ascribed to such term in Section 2(b)(ix).</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shelf registration statement (File Number 333-292786) on Form F-3, including exhibits and financial statements filed with or incorporated by reference into such registration statement and any prospectus supplement relating to the Shares that is filed with the Commission pursuant to Rule 424(b) and deemed part of such registration statement pursuant to Rule 430B or 462(b) of the Securities Act, as amended on each Effective Date and, in the event any post-effective amendment thereto becomes effective, shall also mean such registration statement as so amended.</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shall have the meaning ascribed to such term in Section 4(k).</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Act.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Notice</w:t>
      </w:r>
      <w:r>
        <w:rPr>
          <w:rFonts w:ascii="Times New Roman" w:cs="Times New Roman" w:eastAsia="Times New Roman" w:hAnsi="Times New Roman"/>
          <w:sz w:val="18"/>
          <w:szCs w:val="18"/>
          <w:color w:val="auto"/>
        </w:rPr>
        <w:t>” shall have the meaning ascribed to such term in Section 2(b)(i).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shall have the meaning ascribed to such term in Section 2(b)(vii).</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have the meaning ascribed to such term in Section 2.</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have the meaning ascribed to such term in Section 3(a).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Terms Agreement</w:t>
      </w:r>
      <w:r>
        <w:rPr>
          <w:rFonts w:ascii="Times New Roman" w:cs="Times New Roman" w:eastAsia="Times New Roman" w:hAnsi="Times New Roman"/>
          <w:sz w:val="18"/>
          <w:szCs w:val="18"/>
          <w:color w:val="auto"/>
        </w:rPr>
        <w:t>” shall have the meaning ascribed to such term in Section 2(a).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 shall have the meaning ascribed to such term in Section 2(c).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Incorporated Document to be a part of or included in the Registration Statement or the Prospectus, as the case may be, as of any specified date.</w:t>
      </w:r>
    </w:p>
    <w:p>
      <w:pPr>
        <w:spacing w:after="0" w:line="189" w:lineRule="exact"/>
        <w:rPr>
          <w:sz w:val="20"/>
          <w:szCs w:val="20"/>
          <w:color w:val="auto"/>
        </w:rPr>
      </w:pPr>
    </w:p>
    <w:p>
      <w:pPr>
        <w:jc w:val="both"/>
        <w:ind w:firstLine="644"/>
        <w:spacing w:after="0" w:line="253" w:lineRule="auto"/>
        <w:tabs>
          <w:tab w:leader="none" w:pos="8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of Shares</w:t>
      </w:r>
      <w:r>
        <w:rPr>
          <w:rFonts w:ascii="Times New Roman" w:cs="Times New Roman" w:eastAsia="Times New Roman" w:hAnsi="Times New Roman"/>
          <w:sz w:val="18"/>
          <w:szCs w:val="18"/>
          <w:color w:val="auto"/>
        </w:rPr>
        <w:t>. The Company proposes to issue and sell through or to the Manager, as sales agent and/or principal, from time to time during the term of this Agreement and on the terms set forth herein, up to such number of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Class A ordinary shares, $0.0001 par value per share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that does not exceed (a) the number or dollar amount of Ordinary Shares registered on the Prospectus Supplement, pursuant to which the offering is being made, (b) the number of authorized but unissued Ordinary Shares (less the number of Ordinary Shares issuable upon exercise, conversion or exchange of any outstanding securities of the Company or otherwise reserved from the Company’s authorized share capital), or (c) the number or dollar amount of Ordinary Shares that would cause the Company or the offering of the Shares to not satisfy the eligibility and transaction requirements for use of Form F-3, including, if applicable, General Instruction I.B.5 of Registration Statement on Form F-3 (the lesser of (a), (b) and (c),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Notwithstanding anything to the contrary contained herein, the parties hereto agree that compliance with the limitations set forth in this Section 2 on the number and aggregate sales price of Shares issued and sold under this Agreement shall be the sole responsibility of the Company and that the Manager shall have no obligation in connection with such compliance.</w:t>
      </w:r>
    </w:p>
    <w:p>
      <w:pPr>
        <w:spacing w:after="0" w:line="192" w:lineRule="exact"/>
        <w:rPr>
          <w:sz w:val="20"/>
          <w:szCs w:val="20"/>
          <w:color w:val="auto"/>
        </w:rPr>
      </w:pPr>
    </w:p>
    <w:p>
      <w:pPr>
        <w:jc w:val="both"/>
        <w:ind w:firstLine="644"/>
        <w:spacing w:after="0" w:line="258" w:lineRule="auto"/>
        <w:tabs>
          <w:tab w:leader="none" w:pos="8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Manager as Selling Agent; Terms Agreement</w:t>
      </w:r>
      <w:r>
        <w:rPr>
          <w:rFonts w:ascii="Times New Roman" w:cs="Times New Roman" w:eastAsia="Times New Roman" w:hAnsi="Times New Roman"/>
          <w:sz w:val="18"/>
          <w:szCs w:val="18"/>
          <w:color w:val="auto"/>
        </w:rPr>
        <w:t>. For purposes of selling the Shares through the Manager, the Company hereby appoints the Manager as exclusive agent of the Company for the purpose of selling the Shares of the Company pursuant to this Agreement and the Manager agrees to use its commercially reasonable efforts to sell the Shares on the terms and subject to the conditions stated herein. The Company agrees that, whenever it determines to sell the Shares directly to the Manager as principal, it will enter into a separate agreement (each, a “</w:t>
      </w:r>
      <w:r>
        <w:rPr>
          <w:rFonts w:ascii="Times New Roman" w:cs="Times New Roman" w:eastAsia="Times New Roman" w:hAnsi="Times New Roman"/>
          <w:sz w:val="18"/>
          <w:szCs w:val="18"/>
          <w:u w:val="single" w:color="auto"/>
          <w:color w:val="auto"/>
        </w:rPr>
        <w:t>Terms Agreement</w:t>
      </w:r>
      <w:r>
        <w:rPr>
          <w:rFonts w:ascii="Times New Roman" w:cs="Times New Roman" w:eastAsia="Times New Roman" w:hAnsi="Times New Roman"/>
          <w:sz w:val="18"/>
          <w:szCs w:val="18"/>
          <w:color w:val="auto"/>
        </w:rPr>
        <w:t xml:space="preserve">”) in substantially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relating to such sale in accordance with Section 2 of this Agreement.</w:t>
      </w:r>
    </w:p>
    <w:p>
      <w:pPr>
        <w:spacing w:after="0" w:line="18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8" w:name="page9"/>
    <w:bookmarkEnd w:id="8"/>
    <w:p>
      <w:pPr>
        <w:jc w:val="both"/>
        <w:ind w:left="-460" w:firstLine="644"/>
        <w:spacing w:after="0" w:line="266" w:lineRule="auto"/>
        <w:tabs>
          <w:tab w:leader="none" w:pos="4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Sales</w:t>
      </w:r>
      <w:r>
        <w:rPr>
          <w:rFonts w:ascii="Times New Roman" w:cs="Times New Roman" w:eastAsia="Times New Roman" w:hAnsi="Times New Roman"/>
          <w:sz w:val="18"/>
          <w:szCs w:val="18"/>
          <w:color w:val="auto"/>
        </w:rPr>
        <w:t>. Subject to the terms and conditions and in reliance upon the representations and warranties herein set forth, the Company will issue and agrees to sell Shares from time to time through the Manager, acting as sales agent, and the Manager agrees to use its commercially reasonable efforts to sell, as sales agent for the Company, on the following terms:</w:t>
      </w:r>
    </w:p>
    <w:p>
      <w:pPr>
        <w:spacing w:after="0" w:line="175"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to be sold on a daily basis or otherwise as shall be agreed to by the Company and the Manager on any day that</w:t>
      </w:r>
    </w:p>
    <w:p>
      <w:pPr>
        <w:spacing w:after="0" w:line="27" w:lineRule="exact"/>
        <w:rPr>
          <w:rFonts w:ascii="Times New Roman" w:cs="Times New Roman" w:eastAsia="Times New Roman" w:hAnsi="Times New Roman"/>
          <w:sz w:val="18"/>
          <w:szCs w:val="18"/>
          <w:color w:val="auto"/>
        </w:rPr>
      </w:pPr>
    </w:p>
    <w:p>
      <w:pPr>
        <w:jc w:val="both"/>
        <w:ind w:left="1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 a Trading Day, (B) the Company has instructed the Manager by electronic mail or by telephone (confirmed promptly by electronic mail) to make such sales (“</w:t>
      </w:r>
      <w:r>
        <w:rPr>
          <w:rFonts w:ascii="Times New Roman" w:cs="Times New Roman" w:eastAsia="Times New Roman" w:hAnsi="Times New Roman"/>
          <w:sz w:val="18"/>
          <w:szCs w:val="18"/>
          <w:u w:val="single" w:color="auto"/>
          <w:color w:val="auto"/>
        </w:rPr>
        <w:t>Sales Notice</w:t>
      </w:r>
      <w:r>
        <w:rPr>
          <w:rFonts w:ascii="Times New Roman" w:cs="Times New Roman" w:eastAsia="Times New Roman" w:hAnsi="Times New Roman"/>
          <w:sz w:val="18"/>
          <w:szCs w:val="18"/>
          <w:color w:val="auto"/>
        </w:rPr>
        <w:t>”) and (C) the Company has satisfied its obligations under Section 6 of this Agreement. The Company will designate the maximum amount of the Shares to be sold by the Manager daily (subject to the limitations set forth in Section 2(d)) and the minimum price per Share at which such Shares may be sold. Subject to the terms and conditions hereof, the Manager shall use its commercially reasonable efforts to sell on a particular day all of the Shares designated for the sale by the Company on such day. The gross sales price of the Shares sold under this Section 2(b) shall be the market price for the Ordinary Shares sold by the Manager under this Section 2(b) on the Trading Market at the time of sale of such Shares.</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0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there can be no assurance that the Manager will be successful in selling the Shares, (B) the Manager will incur no liability or obligation to the Company or any other Person if it does not sell the Shares for any reason other than a failure by the Manager to use its commercially reasonable efforts consistent with its normal trading and sales practices and applicable law and regulations to sell such Shares as required under this Agreement, and (C) the Manager shall be under no obligation to purchase Shares on a principal basis pursuant to this Agreement, except as otherwise specifically agreed by the Manager and the Company pursuant to a Terms Agreement.</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5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authorize the issuance and sale of, and the Manager shall not be obligated to use its commercially reasonable efforts to sell, any Share at a price lower than the minimum price therefor designated from time to time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or a duly authorized committee thereof, or such duly authorized officers of the Company, and notified to the Manager in writing. The Company or the Manager may, upon notice to the other party hereto by electronic mail or by telephone (confirmed promptly by electronic mail), suspend the offering of the Shares for any reason and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3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may sell Shares by any method permitted by law deemed to be an “at the market offering” as defined in Rule 415 under the Act, including without limitation sales made directly on the Trading Market, on any other existing trading market for the Ordinary Shares or to or through a market maker. The Manager may also sell Shares (i) in privately negotiated transactions with the consent of the Company or (ii) in block transactions. Nothing in this Agreement shall be deemed to require either party to agree to the method of offer and sale specified in this Section 2(b)(iv), and (except as specified in clauses (i) and (ii) of the preceding sentence) the method of placement of any Shares by the Manager shall be at the Manager’s discretion.</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to the Manager for sales of the Shares under this Section 2(b) shall be a placement fee of 3.0% of the gross sales price of the Shares sold pursuant to this Section 2(b) (“</w:t>
      </w:r>
      <w:r>
        <w:rPr>
          <w:rFonts w:ascii="Times New Roman" w:cs="Times New Roman" w:eastAsia="Times New Roman" w:hAnsi="Times New Roman"/>
          <w:sz w:val="18"/>
          <w:szCs w:val="18"/>
          <w:u w:val="single" w:color="auto"/>
          <w:color w:val="auto"/>
        </w:rPr>
        <w:t>Broker Fee</w:t>
      </w:r>
      <w:r>
        <w:rPr>
          <w:rFonts w:ascii="Times New Roman" w:cs="Times New Roman" w:eastAsia="Times New Roman" w:hAnsi="Times New Roman"/>
          <w:sz w:val="18"/>
          <w:szCs w:val="18"/>
          <w:color w:val="auto"/>
        </w:rPr>
        <w:t>”). The foregoing rate of compensation shall not apply when the Manager acts as principal, in which case the Company may sell Shares to the Manager as principal at a price agreed upon at the relevant Applicable Time pursuant to a Terms Agreement. The remaining proceeds, after deduction of the Broker Fee and deduction of any transaction fees imposed by any clearing firm, execution broker, or governmental or self-regulatory organization in respect of such sales, shall constitute the net proceeds to the Company for such Shares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 w:name="page10"/>
    <w:bookmarkEnd w:id="9"/>
    <w:p>
      <w:pPr>
        <w:jc w:val="both"/>
        <w:ind w:left="180" w:firstLine="652"/>
        <w:spacing w:after="0" w:line="261" w:lineRule="auto"/>
        <w:tabs>
          <w:tab w:leader="none" w:pos="114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provide written confirmation (which may be by electronic mail) to the Company following the close of trading on the Trading Market each day in which the Shares are sold under this Section 2(b) setting forth the number of the Shares sold on such day, the aggregate gross sales proceeds and the Net Proceeds to the Company, and the compensation payable by the Company to the Manager with respect to such sales.</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18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between the Company and the Manager, settlement for sales of the Shares will occur at 10:00 a.m. (New York City time) on the first (1st) Trading Day, or any other settlement cycle as may be in effect pursuant to Rule 15c6-1 under the Exchange Act from time to time) following the date on which such sales are made (each,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On or before the Trading Day prior to each Settlement Date, the Company will, or will cause its transfer agent to, electronically transfer the Shares being sold by crediting the Manager’s or its designee’s account (provided that the Manager shall have given the Company written notice of such designee at least one Trading Day prior to the Settlement Date)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through its Deposit and Withdrawal at Custodian System or by such other means of delivery as may be mutually agreed upon by the parties hereto which Shares in all cases shall be freely tradable, transferable, registered shares in good deliverable form. On each Settlement Date, the Manager will deliver the related Net Proceeds in same day funds to an account designated by the Company. The Company agrees that, if the Company, or its transfer agent (if applicable), defaults in its obligation to deliver duly authorized Shares on a Settlement Date through no fault of the Manager, in addition to and in no way limiting the rights and obligations set forth in Section 7 hereto, the Company will (i) hold the Manager harmless against any loss, claim, damage, or reasonable, documented expense (including reasonable and documented legal fees and expenses), as incurred, arising out of or in connection with such default by the Company, and (ii) pay to the Manager any commission, discount or other compensation to which the Manager would otherwise have been entitled absent such default.</w:t>
      </w:r>
    </w:p>
    <w:p>
      <w:pPr>
        <w:spacing w:after="0" w:line="197"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23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Applicable Time, Settlement Date, and Representation Date,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the Manager to use its commercially reasonable efforts to sell the Shares on behalf of the Company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5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declare or make any dividend or other distribution of its assets (or rights to acquire its assets) to holders of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and the record date for the determination of shareholders entitled to receive the Distribution,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Company hereby covenants that, in connection with any sales of Shares pursuant to a Sales Notice on the Record Date, the Company shall issue and deliver such Shares to the Manager on the Record Date and the Record Date shall be the Settlement Date and the Company shall cover any additional costs of the Manager in connection with the delivery of Shares on the Record Date.</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Sales</w:t>
      </w:r>
      <w:r>
        <w:rPr>
          <w:rFonts w:ascii="Times New Roman" w:cs="Times New Roman" w:eastAsia="Times New Roman" w:hAnsi="Times New Roman"/>
          <w:sz w:val="18"/>
          <w:szCs w:val="18"/>
          <w:color w:val="auto"/>
        </w:rPr>
        <w:t>. If the Company wishes to sell the Shares pursuant to this Agreement in a manner other than as set forth in Section 2(b) of this Agreement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the Company will notify the Manager of the proposed terms of such Placement. If the Manager, acting as principal, wishes to accept such proposed terms (which it may decline to do for any reason in its sole discretion) or, following discussions with the Company wishes to accept amended terms, the Manager and the Company will enter into a Terms Agreement setting forth the terms of such Placement. The terms set forth in a Terms Agreement will not be binding on the Company or the Manager unless and until the Company and the Manager have each executed such Terms Agreement accepting all of the terms of such Terms Agreement. In the event of a conflict between the terms of this Agreement and the terms of a Terms Agreement, the terms of such Terms Agreement will control. A Terms Agreement may also specify certain provisions relating to the reoffering of such Shares by the Manager. The commitment of the Manager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the Manager pursuant thereto, the price to be paid to the Company for such Shares, any provisions relating to rights of, and default by, underwriters acting together with the Manager in the reoffering of the Shares, and the time and date (each such time and date being referred to herein as a “</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 and place of delivery of and payment for such Shares. Such Terms Agreement shall also specify any requirements for opinions of counsel, accountants’ “comfort” letters and officers’ certificates pursuant to Section 6 of this Agreement and any other information or documents required by the Manager.</w:t>
      </w:r>
    </w:p>
    <w:p>
      <w:pPr>
        <w:spacing w:after="0" w:line="1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0" w:name="page11"/>
    <w:bookmarkEnd w:id="10"/>
    <w:p>
      <w:pPr>
        <w:jc w:val="both"/>
        <w:ind w:left="660" w:firstLine="644"/>
        <w:spacing w:after="0" w:line="254" w:lineRule="auto"/>
        <w:tabs>
          <w:tab w:leader="none" w:pos="157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Number of Shares</w:t>
      </w:r>
      <w:r>
        <w:rPr>
          <w:rFonts w:ascii="Times New Roman" w:cs="Times New Roman" w:eastAsia="Times New Roman" w:hAnsi="Times New Roman"/>
          <w:sz w:val="18"/>
          <w:szCs w:val="18"/>
          <w:color w:val="auto"/>
        </w:rPr>
        <w:t>. Under no circumstances shall the Company cause or request the offer or sale of any Shares if, after giving effect to the sale of such Shares, the aggregate amount of Shares sold pursuant to this Agreement would exceed the lesser of (A) together with all sales of Shares under this Agreement, the Maximum Amount, (B) the amount available for offer and sale under the currently effective Registration Statement and (C) the amount authorized from time to time to be issued and sold under this Agreement by the Board, a duly authorized committee thereof or a duly authorized executive officer, and notified to the Manager in writing. Under no circumstances shall the Company cause or request the offer or sale of any Shares pursuant to this Agreement at a price lower than the minimum price authorized from time to time by the Board, a duly authorized committee thereof or a duly authorized executive officer, and notified to the Manager in writing. Further, under no circumstances shall the Company cause or permit the aggregate offering amount of Shares sold pursuant to this Agreement to exceed the Maximum Amount.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Notice</w:t>
      </w:r>
      <w:r>
        <w:rPr>
          <w:rFonts w:ascii="Times New Roman" w:cs="Times New Roman" w:eastAsia="Times New Roman" w:hAnsi="Times New Roman"/>
          <w:sz w:val="18"/>
          <w:szCs w:val="18"/>
          <w:color w:val="auto"/>
        </w:rPr>
        <w:t>. Unless the exceptive provisions set forth in Rule 101(c)(1) of Regulation M under the Exchange Act are satisfied with respect to the Shares, the Company shall give the Manager at least one (1) Business Day’s prior notice of its intent to sell any Shares in order to allow the Manager time to comply with Regulation M.</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Manager at the Execution Time and on each such time that the following representations and warranties are repeated or deemed to be made pursuant to this Agreement, as set forth below, except as set forth in the Registration Statement, the Prospectus or the Incorporated Documents.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(individually,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the Company are set forth on Exhibit 8.1 to the Company’s most recent Annual Report on Form 20-F filed with the Commission. The Company owns, directly or indirectly, all of the share capital or other equity interests of each Subsidiary free and clear of any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(which for purposes of this Agreement shall mean a lien, charge, security interest, encumbrance, right of first refusal, preemptive right or other restriction), and all of the issued and outstanding share capital and other equity interests of each Subsidiary are validly issued and are fully paid, non-assessable and free of preemptive and similar rights to subscribe for or purchase securities.</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7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(if applicable in such jurisdiction) under the laws of the jurisdiction of its incorporation or organization, with the requisite power and authority to own and use its properties and assets and to carry on its business as currently conducted. Neither the Company nor any Subsidiary is in violation nor in default of any of the provisions of its respective memorandum and articles of association,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this Agreement, (ii) a material adverse effect on the results of operations, assets, business, prospects or condition (financial or otherwise) of the Company and the Subsidiaries, taken as a whole, from that set forth in the Registration Statement, the Base Prospectus, any Prospectus Supplement, the Prospectus or the Incorporated Documents, or (iii) a material adverse effect on the Company’s ability to perform in any material respect on a timely basis its obligations under this Agreement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(which for purposes of this Agreement shall mean any action, claim, suit, investigation or proceeding (including, without limitation, an informal investigation or partial proceeding, such as a deposition), whether commenced or, to the Company’s knowledge, threatened) has been instituted in any such jurisdiction revoking, limiting or curtailing or seeking to revoke, limit or curtail such power and authority or qualification.</w:t>
      </w:r>
    </w:p>
    <w:p>
      <w:pPr>
        <w:spacing w:after="0" w:line="19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the Board or the Company’s shareholders in connection herewith other than in connection with the Required Approvals. This Agreement has been duly executed and delivered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left="-460" w:firstLine="644"/>
        <w:spacing w:after="0" w:line="253" w:lineRule="auto"/>
        <w:tabs>
          <w:tab w:leader="none" w:pos="4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the issuance and sale of the Shares and the consummation by it of the transactions contemplated hereby do not and will not (i) conflict with or violate any provision of the Company’s or any Subsidiary’s memorandum and articles of association,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xml:space="preserve"> The Company is not required to obtain any consent, waiver, authorization or order of, give any notice to, or make any filing or registration with, any court or other federal, state, local or other governmental authority or other “Person” (defined as an individual or corporation, partnership, trust, incorporated or unincorporated association, joint venture, limited liability company, joint stock company, government (or an agency or subdivision thereof) or other entity of any kind, including the Trading Market) in connection with the execution, delivery and performance by the Company of this Agreement, other than (i) the filings required by this Agreement, (ii) the filing with the Commission of the Prospectus Supplement, (iii) the filing of application(s) to and approval by the Trading Market for the listing of the Shares for trading thereon in the time and manner required thereby, and (iv) such filings as are required to be made under applicable state securities laws and the rules and regulations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Shares are duly authorized and, when issued and paid for in accordance with this Agreement, will be duly and validly issued, fully paid and nonassessable, free and clear of all Liens imposed by the Company. The Company has reserved from its duly authorized share capital the maximum number of Ordinary Shares issuable pursuant to this Agreement. The issuance by the Company of the Shares has been registered under the Act and all of the Shares, when issued, will be freely transferable and tradable by the purchasers thereof without restriction (other than any restrictions arising solely from an act or omission of such a purchaser). The Shares are being issued pursuant to the Registration Statement and the issuance of the Shares has been registered by the Company under the Act.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section within the Registration Statement permits the issuance and sale of the Shares as contemplated by this Agreement. Upon receipt of the Shares, the purchasers of such Shares will have good and marketable title to such Shares and the Shares will be freely tradable on the Trading Market.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as set forth in the SEC Reports as of the date set forth therein. The Company has not issued any share capital since its most recently filed periodic report under the Exchange Act, other than pursuant to the exercise of employee equity awards under the Company’s equity award plans, the issuance of Ordinary Shares to employees pursuant to the Company’s equity award plans and pursuant to the conversion and/or exercise of securities exercisable, exchangeable or convertible into Ordinary Shares (“</w:t>
      </w:r>
      <w:r>
        <w:rPr>
          <w:rFonts w:ascii="Times New Roman" w:cs="Times New Roman" w:eastAsia="Times New Roman" w:hAnsi="Times New Roman"/>
          <w:sz w:val="18"/>
          <w:szCs w:val="18"/>
          <w:u w:val="single" w:color="auto"/>
          <w:color w:val="auto"/>
        </w:rPr>
        <w:t>Ordinary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Equivalents</w:t>
      </w:r>
      <w:r>
        <w:rPr>
          <w:rFonts w:ascii="Times New Roman" w:cs="Times New Roman" w:eastAsia="Times New Roman" w:hAnsi="Times New Roman"/>
          <w:sz w:val="18"/>
          <w:szCs w:val="18"/>
          <w:color w:val="auto"/>
        </w:rPr>
        <w:t>”) outstanding as of the date of the most recently filed periodic report under the Exchange Act. No Person has any right of first refusal, preemptive right, right of participation, or any similar right to participate in the transactions contemplated by this Agreement.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share capital of any Subsidiary, or contracts, commitments, understandings or arrangements by which the Company or any Subsidiary is or may become bound to issue additional Ordinary Shares or Ordinary Share Equivalents or share capital of any Subsidiary. The issuance and sale of the Shares will not obligate the Company or any Subsidiary to issue Ordinary Shares or other securities to any Person.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stock” plans or agreements or any similar plan or agreement. All of the outstanding share capital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the Board or others is required for the issuance and sale of the Shares. There are no shareholders agreements, voting agreements or other similar agreements with respect to the Company’s share capital to which the Company is a party or, to the knowledge of the Company, between or among any of the Company’s shareholders.</w:t>
      </w:r>
    </w:p>
    <w:p>
      <w:pPr>
        <w:spacing w:after="0" w:line="2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2" w:name="page13"/>
    <w:bookmarkEnd w:id="12"/>
    <w:p>
      <w:pPr>
        <w:jc w:val="both"/>
        <w:ind w:left="-460" w:firstLine="644"/>
        <w:spacing w:after="0" w:line="253" w:lineRule="auto"/>
        <w:tabs>
          <w:tab w:leader="none" w:pos="4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meets the requirements for use of Form F-3 under the Act and has prepared and filed with the Commission the Registration Statement, including the Base Prospectus, for registration under the Act of the offering and sale of the Shares. Such Registration Statement is effective and available for the offer and sale of the Shares as of the date hereof. As filed, the Base Prospectus contains all information required by the Act and the rules thereunder, and, except to the extent the Manager shall agree in writing to a modification, shall be in all substantive respects in the form furnished to the Manager prior to the Execution Time or prior to any such time this representation is repeated or deemed to be made. The Registration Statement, at the Execution Time, each such time this representation is repeated or deemed to be made, and at all times during which a prospectus is required by the Act to be delivered (whether physically or through compliance with Rule 172, 173 or any similar rule) in connection with any offer or sale of the Shares, meets the requirements set forth in Rule 415(a)(1)(x). The initial Effective Date of the Registration Statement was not earlier than the date three years before the Execution Time. The Company is eligible to use Form F-3 under the Securities Act, and it meets the transaction requirements as set forth in General Instruction I.B.5 of Form F-3 with respect to the aggregate market value of securities being sold pursuant to this offering and during the twelve (12) calendar months prior to this offering.</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Incorporated Documents</w:t>
      </w:r>
      <w:r>
        <w:rPr>
          <w:rFonts w:ascii="Times New Roman" w:cs="Times New Roman" w:eastAsia="Times New Roman" w:hAnsi="Times New Roman"/>
          <w:sz w:val="18"/>
          <w:szCs w:val="18"/>
          <w:color w:val="auto"/>
        </w:rPr>
        <w:t>. The Incorporated Documents, when they were filed with the Commission, conformed in all material respects to the requirements of the Exchange Act and the rules thereunder, and none of the Incorporated Documents, when they were filed with the Commission,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Base Prospectus, the Prospectus Supplement or the Prospectus, when such documents are filed with the Commission, will conform in all material respects to the requirements of the Exchange Act and the rules thereunder, as applicable, and will not contain any untrue statement of a material fact or omit to state a material fact necessary to make the statements therein, in the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Ineligible Issuer</w:t>
      </w:r>
      <w:r>
        <w:rPr>
          <w:rFonts w:ascii="Times New Roman" w:cs="Times New Roman" w:eastAsia="Times New Roman" w:hAnsi="Times New Roman"/>
          <w:sz w:val="18"/>
          <w:szCs w:val="18"/>
          <w:color w:val="auto"/>
        </w:rPr>
        <w:t>. (i) At the earliest time after the filing of the Registration Statement that the Company or another offering participant made a bona fide offer (within the meaning of Rule 164(h)(2)) of the Shares and (ii) as of the Execution Time and on each such time this representation is repeated or deemed to be made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3" w:name="page14"/>
    <w:bookmarkEnd w:id="13"/>
    <w:p>
      <w:pPr>
        <w:jc w:val="both"/>
        <w:ind w:left="-460" w:firstLine="644"/>
        <w:spacing w:after="0" w:line="253" w:lineRule="auto"/>
        <w:tabs>
          <w:tab w:leader="none" w:pos="4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The Company is eligible to use Issuer Free Writing Prospectuses. Each Issuer Free Writing Prospectus does not include any information the substance of which conflicts with the information contained in the Registration Statement, including any Incorporated Documents and any prospectus supplement deemed to be a part thereof that has not been superseded or modified; and each Issuer Free Writing Prospectus does not contain any untrue statement of a material fact or omit to state any material fact necessary in order to make the statements therein, in the light of the circumstances under which they were made, not misleading. The foregoing sentence does not apply to statements in or omissions from any Issuer Free Writing Prospectus based upon and in conformity with written information furnished to the Company by the Manager specifically for use therein. Any Issuer Free Writing Prospectus that the Company is required to file pursuant to Rule 433(d) has been, or will be, filed with the Commission in accordance with the requirements of the Act and the rules thereunder. Each Issuer Free Writing Prospectus that the Company has filed, or is required to file, pursuant to Rule 433(d) or that was prepared by or behalf of or used by the Company complies or will comply in all material respects with the requirements of the Act and the rules thereunder. The Company will not, without the prior consent of the Manager, prepare, use or refer to, any Issuer Free Writing Prospectuses.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Related to Registration Statement</w:t>
      </w:r>
      <w:r>
        <w:rPr>
          <w:rFonts w:ascii="Times New Roman" w:cs="Times New Roman" w:eastAsia="Times New Roman" w:hAnsi="Times New Roman"/>
          <w:sz w:val="18"/>
          <w:szCs w:val="18"/>
          <w:color w:val="auto"/>
        </w:rPr>
        <w:t>. The Registration Statement is not the subject of a pending proceeding or examination under Section 8(d) or 8(e) of the Act, and the Company is not the subject of a pending proceeding under Section 8A of the Act in connection with the offering of the Shares. The Company has not received any notice that the Commission has issued or intends to issue a stop-order with respect to the Registration Statement or that the Commission otherwise has suspended or withdrawn the effectiveness of the Registration Statement, either temporarily or permanently, or, to the Company’s knowledge, intends or has threatened in writing to do so.</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Base Prospectus, any Prospectus Supplement or the Prospectus.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4" w:name="page15"/>
    <w:bookmarkEnd w:id="14"/>
    <w:p>
      <w:pPr>
        <w:jc w:val="both"/>
        <w:ind w:left="-460" w:firstLine="644"/>
        <w:spacing w:after="0" w:line="266" w:lineRule="auto"/>
        <w:tabs>
          <w:tab w:leader="none" w:pos="4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specifically disclosed in a subsequent SEC Report filed prior to the date on which this representation is being made,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share capital, (v) the Company has not issued any equity securities to any officer, director or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(defined as any Person that, directly or indirectly through one or more intermediaries, controls or is controlled by or is under common control with a Person, as such terms are used in and construed under Rule 144 under the Act), except pursuant to existing Company equity award plans, and (vi) no executive officer of the Company or member of the Board has resigned from any position with the Company.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save for such Actions as would not result in a Material Adverse Effect. None of the Actions set forth in the SEC Reports, (i) adversely affects or challenges the legality, validity or enforceability of this Agreement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Act.</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5" w:name="page16"/>
    <w:bookmarkEnd w:id="15"/>
    <w:p>
      <w:pPr>
        <w:jc w:val="both"/>
        <w:ind w:left="-460" w:firstLine="644"/>
        <w:spacing w:after="0" w:line="253" w:lineRule="auto"/>
        <w:tabs>
          <w:tab w:leader="none" w:pos="4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applicable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6" w:name="page17"/>
    <w:bookmarkEnd w:id="16"/>
    <w:p>
      <w:pPr>
        <w:jc w:val="both"/>
        <w:ind w:left="-460" w:firstLine="644"/>
        <w:spacing w:after="0" w:line="255" w:lineRule="auto"/>
        <w:tabs>
          <w:tab w:leader="none" w:pos="4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if any,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for companies of a similar size as the Company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7" w:name="page18"/>
    <w:bookmarkEnd w:id="17"/>
    <w:p>
      <w:pPr>
        <w:jc w:val="both"/>
        <w:ind w:left="-460" w:firstLine="644"/>
        <w:spacing w:after="0" w:line="254" w:lineRule="auto"/>
        <w:tabs>
          <w:tab w:leader="none" w:pos="4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equity award agreements under any equity award plan of the Company.</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 Oxley Compliance</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as amended, that are effective as of the date hereof, and any and all applicable rules and regulations promulgated by the Commission thereunder that are effective as of the date hereof.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and the disclosure controls and procedures are effective in all material respects to perform the functions for which they were established.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8" w:name="page19"/>
    <w:bookmarkEnd w:id="18"/>
    <w:p>
      <w:pPr>
        <w:jc w:val="both"/>
        <w:ind w:left="-460" w:firstLine="644"/>
        <w:spacing w:after="0" w:line="256" w:lineRule="auto"/>
        <w:tabs>
          <w:tab w:leader="none" w:pos="4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Prospectus and the SEC Reports, other than payments to be made to the Manager or otherwise subject to any prior waiver obtained by the Company, no brokerage or finder’s fees or commissions are or will be payable by the Company or any Subsidiary to any broker, financial advisor or consultant, finder, placement agent, investment banker, bank or other Person with respect to the transactions contemplated by this Agreement. The Manager shall have no obligation with respect to any fees or with respect to any claims made by or on behalf of other Persons for fees of a type contemplated in this Section that may be due in connection with the transactions contemplated by this Agreement.</w:t>
      </w:r>
    </w:p>
    <w:p>
      <w:pPr>
        <w:spacing w:after="0" w:line="187" w:lineRule="exact"/>
        <w:rPr>
          <w:sz w:val="20"/>
          <w:szCs w:val="20"/>
          <w:color w:val="auto"/>
        </w:rPr>
      </w:pPr>
    </w:p>
    <w:p>
      <w:pPr>
        <w:ind w:left="-460" w:firstLine="644"/>
        <w:spacing w:after="0" w:line="282" w:lineRule="auto"/>
        <w:tabs>
          <w:tab w:leader="none" w:pos="5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Sales Agency Agreement</w:t>
      </w:r>
      <w:r>
        <w:rPr>
          <w:rFonts w:ascii="Times New Roman" w:cs="Times New Roman" w:eastAsia="Times New Roman" w:hAnsi="Times New Roman"/>
          <w:sz w:val="18"/>
          <w:szCs w:val="18"/>
          <w:color w:val="auto"/>
        </w:rPr>
        <w:t>. The Company has not entered into any other sales agency agreements or other similar arrangements with any agent or any other representative in respect of at the market offerings of the Shares.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Except as set forth in the SEC Reports, the Ordinary Shares are listed on the Trading Market and the issuance of the Shares as contemplated by this Agreement does not contravene the rules and regulations of the Trading Market.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Ordinary Shares are or have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Ordinary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Shares.</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9" w:name="page20"/>
    <w:bookmarkEnd w:id="19"/>
    <w:p>
      <w:pPr>
        <w:jc w:val="both"/>
        <w:ind w:left="4" w:firstLine="644"/>
        <w:spacing w:after="0" w:line="252" w:lineRule="auto"/>
        <w:tabs>
          <w:tab w:leader="none" w:pos="9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date hereof,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within one year from the date hereof. The Company has no knowledge of any facts or circumstances which lead it to believe that it will file for reorganization or liquidation under the bankruptcy or reorganization laws of any jurisdiction within one year from the date hereof. The SEC Reports set forth as of the date thereof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3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9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as amended.</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0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4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Manager in connection with the Shares.</w:t>
      </w:r>
    </w:p>
    <w:p>
      <w:pPr>
        <w:spacing w:after="0" w:line="18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20" w:name="page21"/>
    <w:bookmarkEnd w:id="20"/>
    <w:p>
      <w:pPr>
        <w:ind w:left="440" w:hanging="256"/>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5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Except as otherwise disclosed in the Registration Statement and the Prospectus, 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established or maintained by the Company, its Subsidiaries or their “ERISA Affiliates” (as defined below), if any, are in compliance in all material respects with ERISA. “</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 Plans</w:t>
      </w:r>
      <w:r>
        <w:rPr>
          <w:rFonts w:ascii="Times New Roman" w:cs="Times New Roman" w:eastAsia="Times New Roman" w:hAnsi="Times New Roman"/>
          <w:sz w:val="18"/>
          <w:szCs w:val="18"/>
          <w:color w:val="auto"/>
        </w:rPr>
        <w:t>. Each equity award granted by the Company under the Company’s equity award plan was granted in accordance with the terms of the Company’s equity award plan. No equity award granted under the Company’s equity award plan has been backdated. The Company has not knowingly granted, and there is no and has been no Company policy or practice to knowingly grant, equity awards prior to, or otherwise knowingly coordinate the grant of equity awards with, the release or other public announcement of material information regarding the Company or its Subsidiaries or their financial results or prospects.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1" w:name="page22"/>
    <w:bookmarkEnd w:id="21"/>
    <w:p>
      <w:pPr>
        <w:jc w:val="both"/>
        <w:ind w:left="4" w:firstLine="644"/>
        <w:spacing w:after="0" w:line="252" w:lineRule="auto"/>
        <w:tabs>
          <w:tab w:leader="none" w:pos="9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past three years were, in compliance with all applicable data privacy and security laws and regulations, including, as applicable,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Privacy Laws; and (iv) applicable Policies provide accurate and sufficient notice of the Company’s then-current privacy practices relating to its subject matter, and do not contain any material omissions of the Company’s then-current privacy practices, as required by Privacy Laws. “Personal Data”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w:t>
      </w:r>
    </w:p>
    <w:p>
      <w:pPr>
        <w:spacing w:after="0" w:line="5"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this Agreement will not result in a breach of any Privacy Laws or Policies. Neither the Company nor the Subsidiaries, (i) has, to the knowledge of the Company,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93"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of its Subsidiaries, nor to the knowledge of the Company, any of the directors, officers or employees of the Company or its Subsidiaries, is an individual or entity that is, or is owned or controlled by an individual or entity that is: (i) the subject of any sanctions administered or enforced by the U.S. Department of Treasury’s Office of Foreign Assets Control, the United Nations Security Council, the European Union, His Majesty’s Treasury, or other relevant sanctions authority (collectively, the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(ii) located, organized or resident in a country or territory that is the subject of Sanctions. Neither the Company nor any of its Subsidiaries will, directly or indirectly, use the proceeds of the transactions contemplated hereby, or lend, contribute or otherwise make available such proceeds to any Subsidiary, joint venture partner or other Person: (i) to fund or facilitate any activities or business of or with any Person or in any country or territory that, at the time of such funding or facilitation, is the subject of Sanctions or (ii) in any other manner that will result in a violation of Sanctions by any Person (including any Person participating in the transactions contemplated hereby, whether as underwriter, advisor, investor or otherwise). For the past five years, neither the Company nor any of its Subsidiaries has knowingly engaged in, and is not now knowingly engaged in, any dealings or transactions with any Person, or in any country or territory, that at the time of the dealing or transaction is or was the subject of Sanctions.</w:t>
      </w:r>
    </w:p>
    <w:p>
      <w:pPr>
        <w:spacing w:after="0" w:line="189"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9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the Manager’s request.</w:t>
      </w:r>
    </w:p>
    <w:p>
      <w:pPr>
        <w:spacing w:after="0" w:line="16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22" w:name="page23"/>
    <w:bookmarkEnd w:id="22"/>
    <w:p>
      <w:pPr>
        <w:jc w:val="both"/>
        <w:ind w:left="4" w:firstLine="644"/>
        <w:spacing w:after="0" w:line="256" w:lineRule="auto"/>
        <w:tabs>
          <w:tab w:leader="none" w:pos="99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3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Member Shareholders</w:t>
      </w:r>
      <w:r>
        <w:rPr>
          <w:rFonts w:ascii="Times New Roman" w:cs="Times New Roman" w:eastAsia="Times New Roman" w:hAnsi="Times New Roman"/>
          <w:sz w:val="18"/>
          <w:szCs w:val="18"/>
          <w:color w:val="auto"/>
        </w:rPr>
        <w:t>. There are no affiliations with any FINRA member firm among the Company’s officers, directors or, to the knowledge of the Company, any five percent (5%) or greater shareholder of the Company, except as set forth in the Registration Statement, the Base Prospectus, any Prospectus Supplement or the Prospectus.</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Each financial or operational projection or other “forward-looking statement” (as defined by Section 27A of the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that was false or misleading with the knowledge of a director or senior manager of the Company that it was false or misleading.</w:t>
      </w:r>
    </w:p>
    <w:p>
      <w:pPr>
        <w:spacing w:after="0" w:line="18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the Manager that: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8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Review Amendments and Supplements to Registration Statement and Prospectus</w:t>
      </w:r>
      <w:r>
        <w:rPr>
          <w:rFonts w:ascii="Times New Roman" w:cs="Times New Roman" w:eastAsia="Times New Roman" w:hAnsi="Times New Roman"/>
          <w:sz w:val="18"/>
          <w:szCs w:val="18"/>
          <w:color w:val="auto"/>
        </w:rPr>
        <w:t>. During any period when the delivery of a prospectus relating to the Shares is required (including in circumstances where such requirement may be satisfied pursuant to Rule 172, 173 or any similar rule) to be delivered under the Act in connection with the offering or the sale of Shares, the Company will not file any amendment to the Registration Statement or supplement (including any Prospectus Supplement) to the Base Prospectus unless the Company has furnished to the Manager a copy for its review prior to filing and will not file any such proposed amendment or supplement to which the Manager reasonably objects. The Company has properly completed the Prospectus, in a form approved by the Manager, and filed such Prospectus, as amended at the Execution Time, with the Commission pursuant to the applicable paragraph of Rule 424(b) by the Execution Time and will cause any supplement to the Prospectus to be properly completed, in a form approved by the Manager, and will file such supplement with the Commission pursuant to the applicable paragraph of Rule 424(b) within the time period prescribed thereby and will provide evidence reasonably satisfactory to the Manager of such timely filing. The Company will promptly advise the Manager (i) when the Prospectus, and any supplement thereto, shall have been filed (if required) with the Commission pursuant to Rule 424(b), (ii) when, during any period when the delivery of a prospectus (whether physically or through compliance with Rule 172, 173 or any similar rule) is required under the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2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23" w:name="page24"/>
    <w:bookmarkEnd w:id="23"/>
    <w:p>
      <w:pPr>
        <w:jc w:val="both"/>
        <w:ind w:left="-460" w:firstLine="644"/>
        <w:spacing w:after="0" w:line="256" w:lineRule="auto"/>
        <w:tabs>
          <w:tab w:leader="none" w:pos="4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Events</w:t>
      </w:r>
      <w:r>
        <w:rPr>
          <w:rFonts w:ascii="Times New Roman" w:cs="Times New Roman" w:eastAsia="Times New Roman" w:hAnsi="Times New Roman"/>
          <w:sz w:val="18"/>
          <w:szCs w:val="18"/>
          <w:color w:val="auto"/>
        </w:rPr>
        <w:t>. If, at any time on or after an Applicable Time but prior to the related Settlement Date, any event occurs as a result of which the Registration Statement or Prospectus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Manager so that any use of the Registration Statement or Prospectus may cease until such are amended or supplemented; (ii) amend or supplement the Registration Statement or Prospectus to correct such statement or omission; and (iii) supply any such amendment or supplement to the Manager in such quantities as the Manager may reasonably request.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Subsequent Filings</w:t>
      </w:r>
      <w:r>
        <w:rPr>
          <w:rFonts w:ascii="Times New Roman" w:cs="Times New Roman" w:eastAsia="Times New Roman" w:hAnsi="Times New Roman"/>
          <w:sz w:val="18"/>
          <w:szCs w:val="18"/>
          <w:color w:val="auto"/>
        </w:rPr>
        <w:t>. During any period when the delivery of a prospectus relating to the Shares is required (including in circumstances where such requirement may be satisfied pursuant to Rule 172, 173 or any similar rule) to be delivered under the Act, any event occurs as a result of which the Prospectus as then supplemented would include any untrue statement of a material fact or omit to state any material fact necessary to make the statements therein in the light of the circumstances under which they were made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the Manager of any such event, (ii) subject to Section 4(a), prepare and file with the Commission an amendment or supplement or new registration statement which will correct such statement or omission or effect such compliance, (iii) use its best efforts to have any amendment to the Registration Statement or new registration statement declared effective as soon as practicable in order to avoid any disruption in use of the Prospectus and (iv) supply any supplemented Prospectus to the Manager in such quantities as the Manager may reasonably request.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Statements</w:t>
      </w:r>
      <w:r>
        <w:rPr>
          <w:rFonts w:ascii="Times New Roman" w:cs="Times New Roman" w:eastAsia="Times New Roman" w:hAnsi="Times New Roman"/>
          <w:sz w:val="18"/>
          <w:szCs w:val="18"/>
          <w:color w:val="auto"/>
        </w:rPr>
        <w:t>. As soon as practicable, the Company will make generally available to its security holders and to the Manager an earnings statement or statements of the Company and its Subsidiaries which will satisfy the provisions of Section 11(a) of the Act and Rule 158. For the avoidance of doubt, the Company’s compliance with the reporting requirements of the Exchange Act shall be deemed to satisfy the requirements of this Section 4(d).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w:t>
      </w:r>
      <w:r>
        <w:rPr>
          <w:rFonts w:ascii="Times New Roman" w:cs="Times New Roman" w:eastAsia="Times New Roman" w:hAnsi="Times New Roman"/>
          <w:sz w:val="18"/>
          <w:szCs w:val="18"/>
          <w:color w:val="auto"/>
        </w:rPr>
        <w:t>. Upon the request of the Manager, the Company will furnish to the Manager and counsel for the Manager, without charge, signed copies of the Registration Statement (including exhibits thereto) and, so long as delivery of a prospectus by the Manager or dealer may be required by the Act (including in circumstances where such requirement may be satisfied pursuant to Rule 172, 173 or any similar rule), as many copies of the Prospectus and each Issuer Free Writing Prospectus and any supplement thereto as the Manager may reasonably request. The Company will pay the expenses of printing or other production of all documents relating to the offering.</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Qualification of Shares</w:t>
      </w:r>
      <w:r>
        <w:rPr>
          <w:rFonts w:ascii="Times New Roman" w:cs="Times New Roman" w:eastAsia="Times New Roman" w:hAnsi="Times New Roman"/>
          <w:sz w:val="18"/>
          <w:szCs w:val="18"/>
          <w:color w:val="auto"/>
        </w:rPr>
        <w:t>. The Company will arrange, if necessary, for the qualification of the Shares for sale under the laws of such jurisdictions as the Manager may designate and will maintain such qualifications in effect so long as required for the distribution of the Shares; provided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The Company agrees that, unless it has or shall have obtained the prior written consent of the Manager, and the Manager agrees with the Company that, unless it has or shall have obtained, as the case may be, the prior written consent of the Company,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Any such free writing prospectus consented to by the Manager or the Company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4" w:name="page25"/>
    <w:bookmarkEnd w:id="24"/>
    <w:p>
      <w:pPr>
        <w:jc w:val="both"/>
        <w:ind w:left="-460" w:firstLine="644"/>
        <w:spacing w:after="0" w:line="255" w:lineRule="auto"/>
        <w:tabs>
          <w:tab w:leader="none" w:pos="4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Issuances</w:t>
      </w:r>
      <w:r>
        <w:rPr>
          <w:rFonts w:ascii="Times New Roman" w:cs="Times New Roman" w:eastAsia="Times New Roman" w:hAnsi="Times New Roman"/>
          <w:sz w:val="18"/>
          <w:szCs w:val="18"/>
          <w:color w:val="auto"/>
        </w:rPr>
        <w:t>. The Company shall not deliver any Sales Notice hereunder (and any Sales Notice previously delivered shall not apply during such three (3) Business Days) for at least three (3) Business Days prior to any date on which the Company or any Subsidiary offers, sells, issues, contracts to sell, contracts to issue or otherwise disposes of, directly or indirectly, any other Ordinary Shares or any Ordinary Share Equivalents (other than the Shares), subject to Manager’s right to waive this obligation, provided that, without compliance with the foregoing obligation, the Company may issue and sell Ordinary Shares pursuant to any employee equity plan, share ownership plan or dividend reinvestment plan of the Company in effect at the Execution Time and the Company may issue Ordinary Shares issuable upon the conversion or exercise of Ordinary Share Equivalents outstanding at the Execution Time.</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Manipulation</w:t>
      </w:r>
      <w:r>
        <w:rPr>
          <w:rFonts w:ascii="Times New Roman" w:cs="Times New Roman" w:eastAsia="Times New Roman" w:hAnsi="Times New Roman"/>
          <w:sz w:val="18"/>
          <w:szCs w:val="18"/>
          <w:color w:val="auto"/>
        </w:rPr>
        <w:t>. Until the termination of this Agreement, the Company will not take, directly or indirectly, any action designed to or that would constitute or that might reasonably be expected to cause or result in, under the Exchange Act or otherwise, stabilization or manipulation in violation of the Act, Exchange Act or the rules and regulations thereunder of the price of any security of the Company to facilitate the sale or resale of the Shares or otherwise violate any provision of Regulation M under the Exchange Act.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Incorrect Certificate</w:t>
      </w:r>
      <w:r>
        <w:rPr>
          <w:rFonts w:ascii="Times New Roman" w:cs="Times New Roman" w:eastAsia="Times New Roman" w:hAnsi="Times New Roman"/>
          <w:sz w:val="18"/>
          <w:szCs w:val="18"/>
          <w:color w:val="auto"/>
        </w:rPr>
        <w:t>. The Company will, at any time during the term of this Agreement, as supplemented from time to time, advise the Manager immediately after it shall have received notice or obtained knowledge thereof, of any information or fact that would alter or affect any opinion, certificate, letter and other document provided to the Manager pursuant to Section 6 herein.</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 of Accuracy of Disclosure</w:t>
      </w:r>
      <w:r>
        <w:rPr>
          <w:rFonts w:ascii="Times New Roman" w:cs="Times New Roman" w:eastAsia="Times New Roman" w:hAnsi="Times New Roman"/>
          <w:sz w:val="18"/>
          <w:szCs w:val="18"/>
          <w:color w:val="auto"/>
        </w:rPr>
        <w:t>. Upon commencement of the offering of the Shares under this Agreement (and upon the recommencement of the offering of the Shares under this Agreement following the termination of a suspension of sales hereunder lasting more than thirty (30) Trading Days), and each time that (i) a new Registration Statement is filed and declared effective by the Commission, (ii) the Registration Statement or Prospectus shall be amended or supplemented, other than by means of Incorporated Documents, (iii) the Company files its Annual Report on Form 20-F under the Exchange Act, (iv) the Company files a report on Form 6-K under the Exchange Act containing financial information for the six months ended June 30, (v) the Company voluntarily files a report on Form 6-K under the Exchange Act containing financial information for the three months ended March 31, or the nine months ended September 30, (vi) the Company files with the Commission a Report on Form 6-K containing amended financial information (other than information that is furnished and not filed), if the Manager reasonably determines that the information in such Form 6-K is material, or, or (vii) the Shares are delivered to the Manager as principal at the Time of Delivery pursuant to a Terms Agreement (such commencement or recommencement date and each such date referred to in (i), (ii), (iii), (iv), (v), (vi) and (vii) above,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unless waived by the Manager, the Company shall furnish or cause to be furnished to the Manager forthwith a certificate dated and delivered on the Representation Date, in form reasonably satisfactory to the Manager to the effect that the statements contained in the certificate referred to in Section 6 of this Agreement which were last furnished to the Manager are true and correct at the Representation Date, as though made at and as of such date (except that such statements shall be deemed to relate to the Registration Statement and the Prospectus as amended and supplemented to such date) or, in lieu of such certificate, a certificate of the same tenor as the certificate referred to in said Section 6, modified as necessary to relate to the Registration Statement and the Prospectus as amended and supplemented to the date of delivery of such certificate. The requirement to provide a certificate under this Section 4(k) shall be waived for any Representation Date occurring at a time at which no Sales Notice is pending, which waiver shall continue until the earlier to occur of the date the Company delivers a Sales Notice hereunder. Notwithstanding the foregoing, if the Company subsequently decides to sell Shares following a Representation Date when the Company relied on such waiver and did not provide the Sales Agent with a certificate under this Section 4(k), then before the Company delivers the Sales Notice or the Sales Agent sells any Shares pursuant thereto, the Company shall provide the Sales Agent with a certificate as described above, dated the date of such Sales Notice.</w:t>
      </w: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5" w:name="page26"/>
    <w:bookmarkEnd w:id="25"/>
    <w:p>
      <w:pPr>
        <w:jc w:val="both"/>
        <w:ind w:left="-460" w:firstLine="644"/>
        <w:spacing w:after="0" w:line="253" w:lineRule="auto"/>
        <w:tabs>
          <w:tab w:leader="none" w:pos="4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 Down Opinions; Negative Assurance</w:t>
      </w:r>
      <w:r>
        <w:rPr>
          <w:rFonts w:ascii="Times New Roman" w:cs="Times New Roman" w:eastAsia="Times New Roman" w:hAnsi="Times New Roman"/>
          <w:sz w:val="18"/>
          <w:szCs w:val="18"/>
          <w:color w:val="auto"/>
        </w:rPr>
        <w:t>. At each Representation Date, unless waived by the Manager, the Company shall furnish or cause to be furnished forthwith to the Manager and to counsel to the Manager (i) a written opinion of corporate counsel to the Company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and (ii) a written opinion of Company Cayman counsel to the Company (“Company Cayman Counsel”), each addressed to the Manager and dated and delivered on such Representation Date, in form and substance reasonably satisfactory to the Manager, including a negative assurance representation from the Company Counsel. The requirement to provide written opinions under this Section 4(l) shall be waived for any Representation Date occurring at a time at which no Sales Notice is pending, which waiver shall continue until the earlier to occur of the date the Company delivers a Sales Notice hereunder. Notwithstanding the foregoing, if the Company subsequently decides to sell Shares following a Representation Date when the Company relied on such waiver and did not provide the Sales Agent with written opinions under this Section 4(l), then before the Company delivers the Sales Notice or the Sales Agent sells any Shares pursuant thereto, the Company shall provide the Sales Agent with written opinions as described above, dated the date of such Sales Notice.</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9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Auditor Bring Down “Comfort” Letter</w:t>
      </w:r>
      <w:r>
        <w:rPr>
          <w:rFonts w:ascii="Times New Roman" w:cs="Times New Roman" w:eastAsia="Times New Roman" w:hAnsi="Times New Roman"/>
          <w:sz w:val="18"/>
          <w:szCs w:val="18"/>
          <w:color w:val="auto"/>
        </w:rPr>
        <w:t>. At each Representation Date, unless waived by the Manager, the Company shall cause (1) the Company’s auditors (the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or other independent accountants satisfactory to the Manager forthwith to furnish the Manager a letter, and (2) the Chief Financial Officer of the Company forthwith to furnish the Manager a certificate, in each case dated on such Representation Date, in form satisfactory to the Manager, of the same tenor as the letters and certificate referred to in Section 6 of this Agreement but modified to relate to the Registration Statement and the Prospectus, as amended and supplemented to the date of such letters and certificate; provided, however, that the Company will not be required to cause the Accountants to furnish such letters to the Manager in connection with the filing of a Current Report on Form 6-K unless (i) such Current Report on Form 6-K is filed at any time during which a prospectus relating to the Shares is required to be delivered under the Act and (ii) the Manager reasonably requests such letter based upon the materiality of the event or events reported in such Current Report on Form 6-K. The requirement to furnish or cause to be furnished a “comfort” letter under this Section 4(m) shall be waived (i) for any Representation Date other than a Representation Date on which a material amendment to the Registration Statement or Prospectus is made, the Company files its Annual Report on Form 20-F or a material amendment thereto under the Exchange Act, or a new Registration Statement is filed and declared effective by the Commission, and (ii) for any Representation Date occurring at a time at which no instruction to the Manager to sell Shares pursuant to this Agreement has been delivered by the Company or is pending; provided, with respect to clause (ii), that if the Company subsequently decides to sell Shares following any Representation Date when the Company relied on such waiver and did not provide the Manager with a letter or certificate pursuant to this Section 4(m), then before the Company delivers any Sales Notice to the Manager to sell Shares pursuant to this Agreement, the Company shall provide the Manager such letter or certificate to the extent required under this Section 4(m) and not previously delivered, dated prior to or on the date of the Sales Notice.</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Session</w:t>
      </w:r>
      <w:r>
        <w:rPr>
          <w:rFonts w:ascii="Times New Roman" w:cs="Times New Roman" w:eastAsia="Times New Roman" w:hAnsi="Times New Roman"/>
          <w:sz w:val="18"/>
          <w:szCs w:val="18"/>
          <w:color w:val="auto"/>
        </w:rPr>
        <w:t>. Upon commencement of the offering of the Shares under this Agreement (and upon the recommencement of the offering of the Shares under this Agreement following the termination of a suspension of sales hereunder lasting more than thirty (30) Trading Days), and at each Representation Date, the Company will conduct a due diligence session, in form and substance, reasonably satisfactory to the Manager, which shall include representatives of management and Accountants. The requirement to undergo a due diligence session under this Section 4(n) shall be waived for any Representation Date occurring at a time at which no Sales Notice is pending, which waiver shall continue until the earlier to occur of the date the Company delivers a Sales Notice hereunder. Notwithstanding the foregoing, if the Company subsequently decides to sell Shares following a Representation Date when the Company relied on such waiver and did not provide the Sales Agent with a due diligence session under this Section 4(n), then before the Company delivers the Sales Notice or the Sales Agent sells any Shares pursuant thereto, the Company shall conduct a due diligence session, as described above, as of the date of such Sales Notice. The Company shall cooperate timely with any reasonable due diligence request from or review conducted by the Manager or its agents from time to time in connection with the transactions contemplated by this Agreement, including, without limitation, providing information and available documents and access to appropriate corporate officers and the Company’s agents during regular business hours, and timely furnishing or causing to be furnished such certificates, letters and opinions from the Company, its officers and its agents, as the Manager may reasonably request. The Company shall reimburse the Manager for Manager’s counsel’s fees in each such due diligence update session, up to a maximum of $5,000 and $3,500 per update for which the Company is obligated to deliver a certification pursuant to clause (iii) of Section 4(k) and clauses (iv) – (vi) of Section 4(k), respectively, for which no waiver is applicable, plus any incidental reasonable and documented expense incurred by the Manager in connection therewith.</w:t>
      </w:r>
    </w:p>
    <w:p>
      <w:pPr>
        <w:spacing w:after="0" w:line="19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6" w:name="page27"/>
    <w:bookmarkEnd w:id="26"/>
    <w:p>
      <w:pPr>
        <w:ind w:left="-460" w:right="20" w:firstLine="644"/>
        <w:spacing w:after="0" w:line="282" w:lineRule="auto"/>
        <w:tabs>
          <w:tab w:leader="none" w:pos="4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Trading</w:t>
      </w:r>
      <w:r>
        <w:rPr>
          <w:rFonts w:ascii="Times New Roman" w:cs="Times New Roman" w:eastAsia="Times New Roman" w:hAnsi="Times New Roman"/>
          <w:sz w:val="18"/>
          <w:szCs w:val="18"/>
          <w:color w:val="auto"/>
        </w:rPr>
        <w:t>. The Company consents to the Manager trading in the Ordinary Shares for the Manager’s own account and for the account of its clients at the same time as sales of the Shares occur pursuant to this Agreement or pursuant to a Terms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Shares Sold</w:t>
      </w:r>
      <w:r>
        <w:rPr>
          <w:rFonts w:ascii="Times New Roman" w:cs="Times New Roman" w:eastAsia="Times New Roman" w:hAnsi="Times New Roman"/>
          <w:sz w:val="18"/>
          <w:szCs w:val="18"/>
          <w:color w:val="auto"/>
        </w:rPr>
        <w:t>. The Company will disclose in its Annual Reports on Form 20-F and Current Reports on Form 6-K when disclosing interim financial results, as applicable, the number of Shares sold through the Manager under this Agreement, the Net Proceeds to the Company and the compensation paid by the Company with respect to sales of Shares pursuant to this Agreement during the relevant quarter; and, if required by any subsequent change in Commission policy or request, more frequently by means of a Current Report on Form 6-K or a further Prospectus Supplement.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w:t>
      </w:r>
      <w:r>
        <w:rPr>
          <w:rFonts w:ascii="Times New Roman" w:cs="Times New Roman" w:eastAsia="Times New Roman" w:hAnsi="Times New Roman"/>
          <w:sz w:val="18"/>
          <w:szCs w:val="18"/>
          <w:color w:val="auto"/>
        </w:rPr>
        <w:t>. If to the knowledge of the Company, the conditions set forth in Section 6 shall not have been satisfied as of the applicable Settlement Date, the Company will offer to any person who has agreed to purchase Shares from the Company as the result of an offer to purchase solicited by the Manager the right to refuse to purchase and pay for such Shares.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 Down of Representations and Warranties</w:t>
      </w:r>
      <w:r>
        <w:rPr>
          <w:rFonts w:ascii="Times New Roman" w:cs="Times New Roman" w:eastAsia="Times New Roman" w:hAnsi="Times New Roman"/>
          <w:sz w:val="18"/>
          <w:szCs w:val="18"/>
          <w:color w:val="auto"/>
        </w:rPr>
        <w:t>. Each acceptance by the Company of an offer to purchase the Shares hereunder, and each execution and delivery by the Company of a Terms Agreement, shall be deemed to be an affirmation to the Manager that the representations and warranties of the Company contained in or made pursuant to this Agreement are true and correct as of the date of such acceptance or of such Terms Agreement as though made at and as of such date (except representations and warranties made as of a specific date, which representations and warranties will be true and correct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representations and warranties made as of a specific date, which representations and warranties will be true and correct as of such date, and except that such representations and warranties shall be deemed to relate to the Registration Statement and the Prospectus as amended and supplemented relating to such Shares).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Company shall ensure that there are at all times sufficient Ordinary Shares to provide for the issuance, free of any preemptive rights, out of its authorized but unissued Ordinary Shares or Ordinary Shares held in treasury, of the maximum aggregate number of Shares authorized for issuance by the Board pursuant to the terms of this Agreement. The Company will use its commercially reasonable efforts to cause the Shares to be listed for trading on the Trading Market and to maintain such listing.</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Under Exchange Act</w:t>
      </w:r>
      <w:r>
        <w:rPr>
          <w:rFonts w:ascii="Times New Roman" w:cs="Times New Roman" w:eastAsia="Times New Roman" w:hAnsi="Times New Roman"/>
          <w:sz w:val="18"/>
          <w:szCs w:val="18"/>
          <w:color w:val="auto"/>
        </w:rPr>
        <w:t>. During any period when the delivery of a prospectus relating to the Shares is required (including in circumstances where such requirement may be satisfied pursuant to Rule 172, 173 or any similar rule) to be delivered under the Act, the Company will file all documents required to be filed with the Commission pursuant to the Exchange Act within the time periods required by the Exchange Act and the regulations thereunder.</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DTC Facility</w:t>
      </w:r>
      <w:r>
        <w:rPr>
          <w:rFonts w:ascii="Times New Roman" w:cs="Times New Roman" w:eastAsia="Times New Roman" w:hAnsi="Times New Roman"/>
          <w:sz w:val="18"/>
          <w:szCs w:val="18"/>
          <w:color w:val="auto"/>
        </w:rPr>
        <w:t>. The Company shall cooperate with the Manager and use its reasonable efforts to permit the Shares to be eligible for clearance and settlement through the facilities of DTC.</w:t>
      </w:r>
    </w:p>
    <w:p>
      <w:pPr>
        <w:spacing w:after="0" w:line="16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apply the Net Proceeds from the sale of the Shares in the manner set forth in the Prospectus.</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7" w:name="page28"/>
    <w:bookmarkEnd w:id="27"/>
    <w:p>
      <w:pPr>
        <w:jc w:val="both"/>
        <w:ind w:left="660" w:firstLine="644"/>
        <w:spacing w:after="0" w:line="261" w:lineRule="auto"/>
        <w:tabs>
          <w:tab w:leader="none" w:pos="1603"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Prospectus Supplement</w:t>
      </w:r>
      <w:r>
        <w:rPr>
          <w:rFonts w:ascii="Times New Roman" w:cs="Times New Roman" w:eastAsia="Times New Roman" w:hAnsi="Times New Roman"/>
          <w:sz w:val="18"/>
          <w:szCs w:val="18"/>
          <w:color w:val="auto"/>
        </w:rPr>
        <w:t>. If any sales are made pursuant to this Agreement which are not made in “at the market” offerings as defined in Rule 415, including, without limitation, any Placement pursuant to a Terms Agreement, the Company shall file a Prospectus Supplement describing the terms of such transaction, the amount of Shares sold, the price thereof, the Manager’s compensation, and such other information as may be required pursuant to Rule 424 and Rule 430B, as applicable, within the time required by Rule 424.</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9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Registration Statement</w:t>
      </w:r>
      <w:r>
        <w:rPr>
          <w:rFonts w:ascii="Times New Roman" w:cs="Times New Roman" w:eastAsia="Times New Roman" w:hAnsi="Times New Roman"/>
          <w:sz w:val="18"/>
          <w:szCs w:val="18"/>
          <w:color w:val="auto"/>
        </w:rPr>
        <w:t>. To the extent that the Registration Statement is not available for the sales of the Shares as contemplated by this Agreement, the Company shall file a new registration statement with respect to any additional Ordinary Shares necessary to complete such sales of the Shares and shall cause such registration statement to become effective as promptly as practicable. After the effectiveness of any such registration statement, all references to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included in this Agreement shall be deemed to include such new registration statement, including all documents incorporated by reference therein pursuant to Item 6 of Form F-3, and all references to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 and each Issuer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Shares;</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3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and all other agreements or documents printed (or reproduced) and delivered in connection with the offering of the Shares; (v) the registration of the Shares under the Exchange Act, if applicable, and the listing of the Shares on the Trading Market; (vi) any registration or qualification of the Shares for offer and sale under the securities or blue sky laws of the several states (including filing fees and the reasonable and documented fees and expenses of counsel for the Manager relating to such registration and qualification); (vii) the transportation and other expenses incurred by or on behalf of Company representatives in connection with presentations to prospective purchasers of the Shares; (viii) the fees and expenses of the Company’s accountants and the fees and expenses of counsel (including local and special counsel) for the Company; (ix) the filing fee under FINRA Rule 5110; (x) the reasonable and documented fees and expenses of the Manager’s counsel, not to exceed $75,000 (excluding any periodic due diligence fees provided for under Section 4(n)), which shall be paid upon the Execution Time; and (xi) all other costs and expenses incident to the performance by the Company of its obligations hereunder.</w:t>
      </w:r>
    </w:p>
    <w:p>
      <w:pPr>
        <w:spacing w:after="0" w:line="192"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Manager</w:t>
      </w:r>
      <w:r>
        <w:rPr>
          <w:rFonts w:ascii="Times New Roman" w:cs="Times New Roman" w:eastAsia="Times New Roman" w:hAnsi="Times New Roman"/>
          <w:sz w:val="18"/>
          <w:szCs w:val="18"/>
          <w:color w:val="auto"/>
        </w:rPr>
        <w:t>. The obligations of the Manager under this Agreement and any Terms Agreement shall be subject to (i) the accuracy of the representations and warranties on the part of the Company contained herein as of the Execution Time, each Representation Date, and as of each Applicable Time, Settlement Date and Time of Delivery, (ii) the performance by the Company of its obligations hereunder and (iii) the following additional conditions: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5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Prospectus Supplement</w:t>
      </w:r>
      <w:r>
        <w:rPr>
          <w:rFonts w:ascii="Times New Roman" w:cs="Times New Roman" w:eastAsia="Times New Roman" w:hAnsi="Times New Roman"/>
          <w:sz w:val="18"/>
          <w:szCs w:val="18"/>
          <w:color w:val="auto"/>
        </w:rPr>
        <w:t>. The Prospectus, and any supplement thereto, required by Rule 424 to be filed with the Commission have been filed in the manner and within the time period required by Rule 424(b) with respect to any sale of Shares; each Prospectus Supplement shall have been filed in the manner required by Rule 424(b) within the time period required hereunder and under the Act;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ind w:left="-460" w:firstLine="644"/>
        <w:spacing w:after="0" w:line="289" w:lineRule="auto"/>
        <w:tabs>
          <w:tab w:leader="none" w:pos="45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Opinions</w:t>
      </w:r>
      <w:r>
        <w:rPr>
          <w:rFonts w:ascii="Times New Roman" w:cs="Times New Roman" w:eastAsia="Times New Roman" w:hAnsi="Times New Roman"/>
          <w:sz w:val="17"/>
          <w:szCs w:val="17"/>
          <w:color w:val="auto"/>
        </w:rPr>
        <w:t>. The Company shall have caused the Company Counsel and the Company Cayman Counsel to furnish to the Manager, requested by the Manager and upon reasonable advance notice in connection with any offering of the Shares, their opinions and negative assurance statements, as applicable, each dated as of such date and addressed to the Manager in form and substance acceptable to the Manager.</w:t>
      </w:r>
    </w:p>
    <w:p>
      <w:pPr>
        <w:spacing w:after="0" w:line="157" w:lineRule="exact"/>
        <w:rPr>
          <w:rFonts w:ascii="Times New Roman" w:cs="Times New Roman" w:eastAsia="Times New Roman" w:hAnsi="Times New Roman"/>
          <w:sz w:val="17"/>
          <w:szCs w:val="17"/>
          <w:color w:val="auto"/>
        </w:rPr>
      </w:pPr>
    </w:p>
    <w:p>
      <w:pPr>
        <w:jc w:val="both"/>
        <w:ind w:left="-460" w:firstLine="644"/>
        <w:spacing w:after="0" w:line="261" w:lineRule="auto"/>
        <w:tabs>
          <w:tab w:leader="none" w:pos="4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Officer’s Certificate</w:t>
      </w:r>
      <w:r>
        <w:rPr>
          <w:rFonts w:ascii="Times New Roman" w:cs="Times New Roman" w:eastAsia="Times New Roman" w:hAnsi="Times New Roman"/>
          <w:sz w:val="18"/>
          <w:szCs w:val="18"/>
          <w:color w:val="auto"/>
        </w:rPr>
        <w:t>. The Company shall have furnished or caused to be furnished to the Manager, a certificate of the Company signed by the Chief Executive Officer or the President and the principal financial or accounting officer of the Company, dated as of such date, to the effect that the signers of such certificate have carefully examined the Registration Statement, the Prospectus, any Prospectus Supplement and any documents incorporated by reference therein and any supplements or amendments thereto and this Agreement and that:</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05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on and as of such date with the same effect as if made on such date (except for any representation and warranty that speaks as of a specific date) and the Company has complied with all the agreements and satisfied all the conditions on its part to be performed or satisfied at or prior to such date;</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10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included in the Registration Statement, the Prospectus and the Incorporated Documents, there has been no Material Adverse Effect on the condition (financial or otherwise), earnings, business or properties of the Company and its subsidiaries, taken as a whole, whether or not arising from transactions in the ordinary course of business, except as set forth in or contemplated in the Registration Statement and the Prospectus.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Accountants’ “Comfort” Letter</w:t>
      </w:r>
      <w:r>
        <w:rPr>
          <w:rFonts w:ascii="Times New Roman" w:cs="Times New Roman" w:eastAsia="Times New Roman" w:hAnsi="Times New Roman"/>
          <w:sz w:val="18"/>
          <w:szCs w:val="18"/>
          <w:color w:val="auto"/>
        </w:rPr>
        <w:t>. The Company shall have requested and caused the Accountants to have furnished to the Manager letters (which may refer to letters previously delivered to the Manager), dated as of such date, in form and substance satisfactory to the Manager, confirming that they are independent accountants within the meaning of the Act and the Exchange Act and the respective applicable rules and regulations adopted by the Commission thereunder and that they have performed a review of any unaudited interim financial information of the Company included or incorporated by reference in the Registration Statement and the Prospectus and provide customary “comfort” as to such review in form and substance satisfactory to the Manager.</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9" w:name="page30"/>
    <w:bookmarkEnd w:id="29"/>
    <w:p>
      <w:pPr>
        <w:jc w:val="both"/>
        <w:ind w:left="660" w:firstLine="644"/>
        <w:spacing w:after="0" w:line="254" w:lineRule="auto"/>
        <w:tabs>
          <w:tab w:leader="none" w:pos="15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Event</w:t>
      </w:r>
      <w:r>
        <w:rPr>
          <w:rFonts w:ascii="Times New Roman" w:cs="Times New Roman" w:eastAsia="Times New Roman" w:hAnsi="Times New Roman"/>
          <w:sz w:val="18"/>
          <w:szCs w:val="18"/>
          <w:color w:val="auto"/>
        </w:rPr>
        <w:t>. Since the respective dates as of which information is disclosed in the Registration Statement, the Prospectus and the Incorporated Documents, except as otherwise stated therein, there shall not have been (i) any change or decrease in previously reported results specified in the letter or letters referred to in paragraph (d)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Registration Statement, the Prospectus and the Incorporated Documents (exclusive of any amendment or supplement thereto) the effect of which, in any case referred to in clause (i) or (ii) above, is, in the sole judgment of the Manager, so material and adverse as to make it impractical or inadvisable to proceed with the offering or delivery of the Shares as contemplated by the Registration Statement (exclusive of any amendment thereof), the Incorporated Documents and the Prospectus (exclusive of any amendment or supplement thereto).</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All Fees</w:t>
      </w:r>
      <w:r>
        <w:rPr>
          <w:rFonts w:ascii="Times New Roman" w:cs="Times New Roman" w:eastAsia="Times New Roman" w:hAnsi="Times New Roman"/>
          <w:sz w:val="18"/>
          <w:szCs w:val="18"/>
          <w:color w:val="auto"/>
        </w:rPr>
        <w:t>. The Company shall have paid the required Commission filing fees relating to the Shares within the time period required by Rule 456(b)(1)(i) of the Act without regard to the proviso therein and otherwise in accordance with Rules 456(b) and 457(r) of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FINRA Objections</w:t>
      </w:r>
      <w:r>
        <w:rPr>
          <w:rFonts w:ascii="Times New Roman" w:cs="Times New Roman" w:eastAsia="Times New Roman" w:hAnsi="Times New Roman"/>
          <w:sz w:val="18"/>
          <w:szCs w:val="18"/>
          <w:color w:val="auto"/>
        </w:rPr>
        <w:t>. FINRA shall not have raised any objection with respect to the fairness and reasonableness of the terms and arrangements under this Agreement.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Listed on Trading Market</w:t>
      </w:r>
      <w:r>
        <w:rPr>
          <w:rFonts w:ascii="Times New Roman" w:cs="Times New Roman" w:eastAsia="Times New Roman" w:hAnsi="Times New Roman"/>
          <w:sz w:val="18"/>
          <w:szCs w:val="18"/>
          <w:color w:val="auto"/>
        </w:rPr>
        <w:t>. The Shares shall have been listed and admitted and authorized for trading on the Trading Market, and satisfactory evidence of such actions shall have been provided to the Manager.</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Assurances</w:t>
      </w:r>
      <w:r>
        <w:rPr>
          <w:rFonts w:ascii="Times New Roman" w:cs="Times New Roman" w:eastAsia="Times New Roman" w:hAnsi="Times New Roman"/>
          <w:sz w:val="18"/>
          <w:szCs w:val="18"/>
          <w:color w:val="auto"/>
        </w:rPr>
        <w:t>. Prior to each Settlement Date and Time of Delivery, as applicable, the Company shall have furnished to the Manager such further information, certificates and documents as the Manager may reasonably request.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 and counsel for the Manager, this Agreement and all obligations of the Manager hereunder may be canceled at, or at any time prior to, any Settlement Date or Time of Delivery, as applicable, by the Manager. Notice of such cancellation shall be given to the Company in writing or by telephone and confirmed in writing by email.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The documents required to be delivered by this Section 6 shall be delivered by email only to Haynes and Boone, LLP, counsel for the Manager,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r>
        <w:rPr>
          <w:sz w:val="1"/>
          <w:szCs w:val="1"/>
          <w:color w:val="auto"/>
        </w:rPr>
        <w:drawing>
          <wp:inline distT="0" distB="0" distL="0" distR="0">
            <wp:extent cx="145732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57325"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on each such date as provided in this Agreement.</w:t>
      </w:r>
    </w:p>
    <w:p>
      <w:pPr>
        <w:spacing w:after="0" w:line="198" w:lineRule="exact"/>
        <w:rPr>
          <w:sz w:val="20"/>
          <w:szCs w:val="20"/>
          <w:color w:val="auto"/>
        </w:rPr>
      </w:pPr>
    </w:p>
    <w:p>
      <w:pPr>
        <w:ind w:left="840" w:hanging="184"/>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Company</w:t>
      </w:r>
      <w:r>
        <w:rPr>
          <w:rFonts w:ascii="Times New Roman" w:cs="Times New Roman" w:eastAsia="Times New Roman" w:hAnsi="Times New Roman"/>
          <w:sz w:val="18"/>
          <w:szCs w:val="18"/>
          <w:color w:val="auto"/>
        </w:rPr>
        <w:t xml:space="preserve">. The Company agrees to indemnify and hold harmless the Manager, the directors, officers, employees and agents of the Manager and each person who controls the Manager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any Prospectus Supplement, the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or arise out of or are based upon any Proceeding relating to the transaction contemplated in this Agreement, commenced or threatened (whether or not the Manager is a target of or party to such Proceeding) or result from or relate to any breach of any of the representations, warranties, covenants or agreements made by the Company in this Agreement, and agrees to reimburse each such indemnified party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the Manager specifically for inclusion therein. This indemnity agreement will be in addition to any liability that the Company may otherwise have.</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7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Manager</w:t>
      </w:r>
      <w:r>
        <w:rPr>
          <w:rFonts w:ascii="Times New Roman" w:cs="Times New Roman" w:eastAsia="Times New Roman" w:hAnsi="Times New Roman"/>
          <w:sz w:val="18"/>
          <w:szCs w:val="18"/>
          <w:color w:val="auto"/>
        </w:rPr>
        <w:t xml:space="preserve">. The Manager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the Manager, but only with reference to written information relating to the Manager furnished to the Company by the Manager specifically for inclusion in the documents referred to in the foregoing indemnity;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case shall the Manager be responsible for any amount in excess of the Broker Fee applicable to the Shares and paid hereunder. This indemnity agreement will be in addition to any liability which the Manager may otherwise have.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1" w:lineRule="auto"/>
        <w:tabs>
          <w:tab w:leader="none" w:pos="156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 xml:space="preserve">.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left="4" w:firstLine="644"/>
        <w:spacing w:after="0" w:line="251" w:lineRule="auto"/>
        <w:tabs>
          <w:tab w:leader="none" w:pos="90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the event that the indemnity provided in paragraph (a), (b) or (c) of this Section 7 is unavailable to or insufficient to hold harmless an indemnified party for any reason, the Company and the Manager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the Company and the Manager may be subject in such proportion as is appropriate to reflect the relative benefits received by the Company on the one hand and by the Manager on the other from the offering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case shall the Manager be responsible for any amount in excess of the Broker Fee applicable to the Shares and paid hereunder. If the allocation provided by the immediately preceding sentence is unavailable for any reason, the Company and the Manager severally shall contribute in such proportion as is appropriate to reflect not only such relative benefits but also the relative fault of the Company on the one hand and of the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Manager shall be deemed to be equal to the Broker Fee applicable to the Shares and paid hereunder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on the one hand or the Manager on the other, the intent of the parties and their relative knowledge, access to information and opportunity to correct or prevent such untrue statement or omission. The Company and the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the Manager within the meaning of either the Act or the Exchange Act and each director, officer, employee and agent of the Manager shall have the same rights to contribution as the Manager,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20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1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written notice as hereinafter specified, to terminate the provisions of this Agreement relating to the solicitation of offers to purchase the Shares in its sole discretion at any time upon ten (10) Business Days’ prior written notice. Any such termination shall be without liability of any party to any other party except that (i) with respect to any pending sale, through the Manager for the Company, the obligations of the Company, including in respect of compensation of the Manager, shall remain in full force and effect notwithstanding the termination and (ii) the provisions of Sections 5, 6, 7, 8, 9, 10, 12, the second sentence of Sections 13, Sections 14 and 15 of this Agreement shall remain in full force and effect notwithstanding such termination. For the ten (10) days following the termination of this Agreement by the Company, the Company shall not enter into and/or issue of Ordinary Shares in an “at-the-market” facility with any other agent as sales agent.</w:t>
      </w:r>
    </w:p>
    <w:p>
      <w:pPr>
        <w:spacing w:after="0" w:line="1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32" w:name="page33"/>
    <w:bookmarkEnd w:id="32"/>
    <w:p>
      <w:pPr>
        <w:jc w:val="both"/>
        <w:ind w:left="640" w:firstLine="644"/>
        <w:spacing w:after="0" w:line="261" w:lineRule="auto"/>
        <w:tabs>
          <w:tab w:leader="none" w:pos="156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Sections 5, 6, 7, 8, 9, 10, 12, the second sentence of 13, 14 and 15 of this Agreement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jc w:val="both"/>
        <w:ind w:left="640" w:firstLine="644"/>
        <w:spacing w:after="0" w:line="266" w:lineRule="auto"/>
        <w:tabs>
          <w:tab w:leader="none" w:pos="15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remain in full force and effect until such date that this Agreement is terminated pursuant to Sections 8(a) or (b) above or otherwise by mutual agreement of the parties, provided that any such termination by mutual agreement shall in all cases be deemed to provide that Sections 5, 6, 7, 8, 9, 10, 12, the second sentence of 13, 14 and 15 shall remain in full force and effect.</w:t>
      </w:r>
    </w:p>
    <w:p>
      <w:pPr>
        <w:spacing w:after="0" w:line="175" w:lineRule="exact"/>
        <w:rPr>
          <w:rFonts w:ascii="Times New Roman" w:cs="Times New Roman" w:eastAsia="Times New Roman" w:hAnsi="Times New Roman"/>
          <w:sz w:val="18"/>
          <w:szCs w:val="18"/>
          <w:color w:val="auto"/>
        </w:rPr>
      </w:pPr>
    </w:p>
    <w:p>
      <w:pPr>
        <w:jc w:val="both"/>
        <w:ind w:left="640" w:firstLine="644"/>
        <w:spacing w:after="0" w:line="261" w:lineRule="auto"/>
        <w:tabs>
          <w:tab w:leader="none" w:pos="158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this Agreement shall be effective on the date specified in such notice of termination, provided that such termination shall not be effective until the close of business on the date of receipt of such notice by the Manager or the Company, as the case may be. If such termination shall occur prior to the Settlement Date or Time of Delivery for any sale of the Shares, such sale of the Shares shall settle in accordance with the provisions of Section 2(b) of this Agreement.</w:t>
      </w:r>
    </w:p>
    <w:p>
      <w:pPr>
        <w:spacing w:after="0" w:line="179" w:lineRule="exact"/>
        <w:rPr>
          <w:rFonts w:ascii="Times New Roman" w:cs="Times New Roman" w:eastAsia="Times New Roman" w:hAnsi="Times New Roman"/>
          <w:sz w:val="18"/>
          <w:szCs w:val="18"/>
          <w:color w:val="auto"/>
        </w:rPr>
      </w:pPr>
    </w:p>
    <w:p>
      <w:pPr>
        <w:jc w:val="both"/>
        <w:ind w:left="640" w:firstLine="644"/>
        <w:spacing w:after="0" w:line="254" w:lineRule="auto"/>
        <w:tabs>
          <w:tab w:leader="none" w:pos="153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purchase of Shares by the Manager pursuant to a Terms Agreement, the obligations of the Manager pursuant to such Terms Agreement shall be subject to termination, in the absolute discretion of the Manager, by prompt oral notice given to the Company prior to the Time of Delivery relating to such Shares, if any, and confirmed promptly by electronic mail, if since the time of execution of the Terms Agreement and prior to such delivery and payment, (i) trading in the Ordinary Shares shall have been suspended by the Commission or the Trading Market or trading in securities generally on the Trading Market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Manager, impractical or inadvisable to proceed with the offering or delivery of the Shares as contemplated by the Prospectus (exclusive of any amendment or supplement thereto).</w:t>
      </w:r>
    </w:p>
    <w:p>
      <w:pPr>
        <w:spacing w:after="0" w:line="188"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82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or its officers and of the Manager set forth in or made pursuant to this Agreement will remain in full force and effect, regardless of any investigation made by the Manager or the Company or any of the officers, directors, employees, agents or controlling persons referred to in Section 7, and will survive delivery of and payment for the Shares.</w:t>
      </w:r>
    </w:p>
    <w:p>
      <w:pPr>
        <w:spacing w:after="0" w:line="179" w:lineRule="exact"/>
        <w:rPr>
          <w:rFonts w:ascii="Times New Roman" w:cs="Times New Roman" w:eastAsia="Times New Roman" w:hAnsi="Times New Roman"/>
          <w:sz w:val="18"/>
          <w:szCs w:val="18"/>
          <w:color w:val="auto"/>
        </w:rPr>
      </w:pPr>
    </w:p>
    <w:p>
      <w:pPr>
        <w:ind w:left="-20" w:firstLine="656"/>
        <w:spacing w:after="0" w:line="282" w:lineRule="auto"/>
        <w:tabs>
          <w:tab w:leader="none" w:pos="91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will be mailed, delivered, or e-mailed to the addresses of the Company and the Manager, respectively, set forth on the signature page hereto.</w:t>
      </w:r>
    </w:p>
    <w:p>
      <w:pPr>
        <w:spacing w:after="0" w:line="161" w:lineRule="exact"/>
        <w:rPr>
          <w:rFonts w:ascii="Times New Roman" w:cs="Times New Roman" w:eastAsia="Times New Roman" w:hAnsi="Times New Roman"/>
          <w:sz w:val="18"/>
          <w:szCs w:val="18"/>
          <w:color w:val="auto"/>
        </w:rPr>
      </w:pPr>
    </w:p>
    <w:p>
      <w:pPr>
        <w:ind w:left="-20" w:firstLine="656"/>
        <w:spacing w:after="0" w:line="282" w:lineRule="auto"/>
        <w:tabs>
          <w:tab w:leader="none" w:pos="89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7, and no other person will have any right or obligation 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61" w:right="339" w:bottom="1440" w:gutter="0" w:footer="0" w:header="0"/>
        </w:sectPr>
      </w:pPr>
    </w:p>
    <w:bookmarkStart w:id="33" w:name="page34"/>
    <w:bookmarkEnd w:id="33"/>
    <w:p>
      <w:pPr>
        <w:jc w:val="both"/>
        <w:ind w:firstLine="656"/>
        <w:spacing w:after="0" w:line="254" w:lineRule="auto"/>
        <w:tabs>
          <w:tab w:leader="none" w:pos="9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hereby acknowledges that (a) the purchase and sale of the Shares pursuant to this Agreement is an arm’s-length commercial transaction between the Company, on the one hand, and the Manager and any affiliate through which it may be acting, on the other, (b) the Manager is acting solely as sales agent and/or principal in connection with the purchase and sale of the Company’s securities and not as a fiduciary of the Company and (c) the Company’s engagement of the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the Manager has advised or is currently advising the Company on related or other matters). The Company agrees that it will not claim that the Manager has rendered advisory services of any nature or respect, or owe an agency, fiduciary or similar duty to the Company, in connection with such transaction or the process leading thereto.</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any Terms Agreement supersede all prior agreements and understandings (whether written or oral) between the Company and the Manager with respect to the subject matter hereof. Notwithstanding anything herein to the contrary, the letter agreement, dated September 10, 2026, by and between the Company and the Manager shall continue to be effective and the terms therein shall continue to survive and be enforceable by the Manager in accordance with its terms.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Manager.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any Terms Agreement will be governed by and construed in accordance with the laws of the State of New York applicable to contracts made and to be performed within the State of New York. Each of the Company and the Manager: (i) agrees that any legal suit, action or proceeding arising out of or relating to this Agreement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exclusive jurisdiction of the New York Supreme Court, County of New York, and the United States District Court for the Southern District of New York in any such suit, action or proceeding. Each of the Company and the Manager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Manager mailed by certified mail to the Manager’s address shall be deemed in every respect effective service process upon the Manager, in any such suit, action or proceeding.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931"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spacing w:after="0" w:line="174"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Terms Agreement may be executed in one or more counterparts, each one of which shall be an original, with the same effect as if the signatures thereto and hereto were upon one and the same agreement.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in this Agreement and any Terms Agreement are for convenience only and shall not affect the construction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Manager.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Kuan Hua,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Kuan Hua, Koh</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Temasek Boulevard, Suntec Tower 2 #19-03, Singapore 038989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CEO Koh Kuan Hua Re: Rodman &amp; Renshaw At the Market Sales Agreement</w:t>
      </w:r>
    </w:p>
    <w:p>
      <w:pPr>
        <w:spacing w:after="0" w:line="9" w:lineRule="exact"/>
        <w:rPr>
          <w:sz w:val="20"/>
          <w:szCs w:val="20"/>
          <w:color w:val="auto"/>
        </w:rPr>
      </w:pPr>
    </w:p>
    <w:p>
      <w:pPr>
        <w:ind w:right="4080"/>
        <w:spacing w:after="0" w:line="489" w:lineRule="auto"/>
        <w:rPr>
          <w:sz w:val="20"/>
          <w:szCs w:val="20"/>
          <w:color w:val="auto"/>
        </w:rPr>
      </w:pPr>
      <w:r>
        <w:rPr>
          <w:rFonts w:ascii="Times New Roman" w:cs="Times New Roman" w:eastAsia="Times New Roman" w:hAnsi="Times New Roman"/>
          <w:sz w:val="17"/>
          <w:szCs w:val="17"/>
          <w:color w:val="auto"/>
        </w:rPr>
        <w:t xml:space="preserve">Email: All of </w:t>
      </w:r>
      <w:r>
        <w:rPr>
          <w:sz w:val="1"/>
          <w:szCs w:val="1"/>
          <w:color w:val="auto"/>
        </w:rPr>
        <w:drawing>
          <wp:inline distT="0" distB="0" distL="0" distR="0">
            <wp:extent cx="3909060"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09060" cy="12890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The foregoing Agreement is hereby confirmed and accepted as of the date first written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RODMAN &amp; RENSHAW LLC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W. Dinkin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W. Dinkin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Form of Terms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Uni-Fuels Holdings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subject to the terms and conditions stated herein and in the At The Market Offering Agreement, dated October 23, 2026 (the “</w:t>
      </w:r>
      <w:r>
        <w:rPr>
          <w:rFonts w:ascii="Times New Roman" w:cs="Times New Roman" w:eastAsia="Times New Roman" w:hAnsi="Times New Roman"/>
          <w:sz w:val="18"/>
          <w:szCs w:val="18"/>
          <w:u w:val="single" w:color="auto"/>
          <w:color w:val="auto"/>
        </w:rPr>
        <w:t>At The Market Offering Agreement</w:t>
      </w:r>
      <w:r>
        <w:rPr>
          <w:rFonts w:ascii="Times New Roman" w:cs="Times New Roman" w:eastAsia="Times New Roman" w:hAnsi="Times New Roman"/>
          <w:sz w:val="18"/>
          <w:szCs w:val="18"/>
          <w:color w:val="auto"/>
        </w:rPr>
        <w:t>”), between the Company and Rodman &amp; Renshaw LLC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xml:space="preserve">”), to issue and sell to Manager the securities specified in the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Each of the provisions of the At The Market Offering Agreement not specifically related to the solicitation by the Manager,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3 of the At The Market Offering Agreement which makes reference to the Prospectus (as therein defined) shall be deemed to be a representation and warranty as of the date of the At The Market Offering Agreement in relation to the Prospectus, and also a representation and warranty as of the date of this Terms Agreement and the Time of Delivery in relation to the Prospectus as amended and supplemented to relate to the Purchased Shares.</w:t>
      </w:r>
    </w:p>
    <w:p>
      <w:pPr>
        <w:spacing w:after="0" w:line="19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An amendment to the Registration Statement (as defined in the At The Market Offering Agreement), or a supplement to the Prospectus, as the case may be, relating to the Purchased Shares, in the form heretofore delivered to the Manager is now proposed to be filed with the Securities and Exchange Commission.</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Subject to the terms and conditions set forth herein and in the At The Market Offering Agreement which are incorporated herein by reference, the Company agrees to issue and sell to the Manager and the latter agrees to purchase from the Company the number of shares of the Purchased Shares at the time and place and at the purchase price set forth in the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sign and return to us a counterpart hereof, whereupon this Terms Agreement, including those provisions of the At The Market Offering Agreement incorporated herein by reference, shall constitute a binding agreement between the Manager and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RODMAN &amp; RENSHAW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164465</wp:posOffset>
            </wp:positionV>
            <wp:extent cx="1285875" cy="531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5875" cy="53149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+852 3656 6054</w:t>
      </w:r>
      <w:r>
        <w:rPr>
          <w:rFonts w:ascii="Times New Roman" w:cs="Times New Roman" w:eastAsia="Times New Roman" w:hAnsi="Times New Roman"/>
          <w:sz w:val="18"/>
          <w:szCs w:val="18"/>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 nathan.powell@ogier.com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+852 3656 6023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janice.chu@ogier.com</w:t>
      </w:r>
    </w:p>
    <w:p>
      <w:pPr>
        <w:spacing w:after="0" w:line="200" w:lineRule="exact"/>
        <w:rPr>
          <w:sz w:val="20"/>
          <w:szCs w:val="20"/>
          <w:color w:val="auto"/>
        </w:rPr>
      </w:pPr>
    </w:p>
    <w:p>
      <w:pPr>
        <w:sectPr>
          <w:pgSz w:w="11900" w:h="16838" w:orient="portrait"/>
          <w:cols w:equalWidth="0" w:num="2">
            <w:col w:w="6260" w:space="720"/>
            <w:col w:w="4260"/>
          </w:cols>
          <w:pgMar w:left="320" w:top="333" w:right="339" w:bottom="1440" w:gutter="0" w:footer="0" w:header="0"/>
          <w:type w:val="continuous"/>
        </w:sectPr>
      </w:pP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Reference: JTC/SWL/517044.00002</w:t>
      </w:r>
    </w:p>
    <w:p>
      <w:pPr>
        <w:sectPr>
          <w:pgSz w:w="11900" w:h="16838" w:orient="portrait"/>
          <w:cols w:equalWidth="0" w:num="1">
            <w:col w:w="11240"/>
          </w:cols>
          <w:pgMar w:left="320" w:top="333" w:right="339" w:bottom="1440" w:gutter="0" w:footer="0" w:header="0"/>
          <w:type w:val="continuous"/>
        </w:sectPr>
      </w:pPr>
    </w:p>
    <w:p>
      <w:pPr>
        <w:spacing w:after="0" w:line="237"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7"/>
          <w:szCs w:val="17"/>
          <w:color w:val="auto"/>
        </w:rPr>
        <w:t>23 October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Uni-Fuels Holdings Limited (the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acted as Cayman Islands counsel to the Company in connection with the filing of the Company’s prospectus supplement dated 23 October 2026, including all amendments or supplements thereto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xml:space="preserve">), forming part of the registration statement on Form F-3 as amended (File No. 333-292786) (including its exhibits,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which was declared effective on 6 February 2026,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Prospectus Supplement relates to the Company’s issuance and sale of up to US$2,354,291 of the Class A Ordinary Shares (as defined below) (the </w:t>
      </w:r>
      <w:r>
        <w:rPr>
          <w:rFonts w:ascii="Times New Roman" w:cs="Times New Roman" w:eastAsia="Times New Roman" w:hAnsi="Times New Roman"/>
          <w:sz w:val="18"/>
          <w:szCs w:val="18"/>
          <w:b w:val="1"/>
          <w:bCs w:val="1"/>
          <w:color w:val="auto"/>
        </w:rPr>
        <w:t>Offer Shares</w:t>
      </w:r>
      <w:r>
        <w:rPr>
          <w:rFonts w:ascii="Times New Roman" w:cs="Times New Roman" w:eastAsia="Times New Roman" w:hAnsi="Times New Roman"/>
          <w:sz w:val="18"/>
          <w:szCs w:val="18"/>
          <w:color w:val="auto"/>
        </w:rPr>
        <w:t>) from time to time through or to Rodman &amp; Renshaw LLC (the</w:t>
      </w:r>
      <w:r>
        <w:rPr>
          <w:rFonts w:ascii="Times New Roman" w:cs="Times New Roman" w:eastAsia="Times New Roman" w:hAnsi="Times New Roman"/>
          <w:sz w:val="18"/>
          <w:szCs w:val="18"/>
          <w:b w:val="1"/>
          <w:bCs w:val="1"/>
          <w:color w:val="auto"/>
        </w:rPr>
        <w:t xml:space="preserve"> Manager</w:t>
      </w:r>
      <w:r>
        <w:rPr>
          <w:rFonts w:ascii="Times New Roman" w:cs="Times New Roman" w:eastAsia="Times New Roman" w:hAnsi="Times New Roman"/>
          <w:sz w:val="18"/>
          <w:szCs w:val="18"/>
          <w:color w:val="auto"/>
        </w:rPr>
        <w:t>) as sales agent and/or principal pursuant to the At The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Offering Agreement dated 23 October 2026 entered into by and between the Company and the Manager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given in accordance with the terms of the Legal Matters section of the Prospectus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a contrary intention appears, all capitalised terms used in this opinion have the respective meanings set forth in the Documents (as defined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headings herein are for convenience only and do not affect the construction of this opinion.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Ogier</w:t>
            </w:r>
          </w:p>
        </w:tc>
        <w:tc>
          <w:tcPr>
            <w:tcW w:w="19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Providing advice on British Virgin Islands, Cayman</w:t>
            </w: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Partners</w:t>
            </w:r>
          </w:p>
        </w:tc>
        <w:tc>
          <w:tcPr>
            <w:tcW w:w="2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Islands and Guernsey laws</w:t>
            </w: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Nicholas Plowman</w:t>
            </w:r>
          </w:p>
        </w:tc>
        <w:tc>
          <w:tcPr>
            <w:tcW w:w="228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Yuki Yan</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60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2280" w:type="dxa"/>
            <w:vAlign w:val="bottom"/>
            <w:vMerge w:val="continue"/>
          </w:tcPr>
          <w:p>
            <w:pPr>
              <w:spacing w:after="0"/>
              <w:rPr>
                <w:sz w:val="6"/>
                <w:szCs w:val="6"/>
                <w:color w:val="auto"/>
              </w:rPr>
            </w:pP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228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David Lin</w:t>
            </w: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Floor 11 Central Tower</w:t>
            </w: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Nathan Powell</w:t>
            </w:r>
          </w:p>
        </w:tc>
        <w:tc>
          <w:tcPr>
            <w:tcW w:w="2280" w:type="dxa"/>
            <w:vAlign w:val="bottom"/>
            <w:vMerge w:val="continue"/>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228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Alan Wong</w:t>
            </w: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28 Queen’s Road Central</w:t>
            </w: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Anthony Oakes</w:t>
            </w:r>
          </w:p>
        </w:tc>
        <w:tc>
          <w:tcPr>
            <w:tcW w:w="2280" w:type="dxa"/>
            <w:vAlign w:val="bottom"/>
            <w:vMerge w:val="continue"/>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228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Janice Chu</w:t>
            </w: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Central</w:t>
            </w: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Oliver Payne</w:t>
            </w:r>
          </w:p>
        </w:tc>
        <w:tc>
          <w:tcPr>
            <w:tcW w:w="2280" w:type="dxa"/>
            <w:vAlign w:val="bottom"/>
            <w:vMerge w:val="continue"/>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60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228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Zhao Rong Ooi</w:t>
            </w: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Kate Hodson</w:t>
            </w:r>
          </w:p>
        </w:tc>
        <w:tc>
          <w:tcPr>
            <w:tcW w:w="2280" w:type="dxa"/>
            <w:vAlign w:val="bottom"/>
            <w:vMerge w:val="continue"/>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60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228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Rachel Huang**</w:t>
            </w: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David Nelson</w:t>
            </w:r>
          </w:p>
        </w:tc>
        <w:tc>
          <w:tcPr>
            <w:tcW w:w="2280" w:type="dxa"/>
            <w:vAlign w:val="bottom"/>
            <w:vMerge w:val="continue"/>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60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2280" w:type="dxa"/>
            <w:vAlign w:val="bottom"/>
            <w:vMerge w:val="restart"/>
          </w:tcPr>
          <w:p>
            <w:pPr>
              <w:ind w:left="520"/>
              <w:spacing w:after="0" w:line="283" w:lineRule="exact"/>
              <w:rPr>
                <w:sz w:val="20"/>
                <w:szCs w:val="20"/>
                <w:color w:val="auto"/>
              </w:rPr>
            </w:pPr>
            <w:r>
              <w:rPr>
                <w:rFonts w:ascii="Times New Roman" w:cs="Times New Roman" w:eastAsia="Times New Roman" w:hAnsi="Times New Roman"/>
                <w:sz w:val="16"/>
                <w:szCs w:val="16"/>
                <w:color w:val="auto"/>
              </w:rPr>
              <w:t>Florence Chan*</w:t>
            </w:r>
            <w:r>
              <w:rPr>
                <w:rFonts w:ascii="Times New Roman" w:cs="Times New Roman" w:eastAsia="Times New Roman" w:hAnsi="Times New Roman"/>
                <w:sz w:val="26"/>
                <w:szCs w:val="26"/>
                <w:color w:val="auto"/>
                <w:vertAlign w:val="superscript"/>
              </w:rPr>
              <w:t>‡</w:t>
            </w:r>
          </w:p>
        </w:tc>
        <w:tc>
          <w:tcPr>
            <w:tcW w:w="338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rPr>
              <w:t>* admitted in New Zealand</w:t>
            </w: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 +852 3656 6000</w:t>
            </w:r>
          </w:p>
        </w:tc>
        <w:tc>
          <w:tcPr>
            <w:tcW w:w="19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Joanne Collett</w:t>
            </w:r>
          </w:p>
        </w:tc>
        <w:tc>
          <w:tcPr>
            <w:tcW w:w="2280" w:type="dxa"/>
            <w:vAlign w:val="bottom"/>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F +852 3656 6001</w:t>
            </w: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Dennis Li</w:t>
            </w:r>
          </w:p>
        </w:tc>
        <w:tc>
          <w:tcPr>
            <w:tcW w:w="2280" w:type="dxa"/>
            <w:vAlign w:val="bottom"/>
          </w:tcPr>
          <w:p>
            <w:pPr>
              <w:ind w:left="520"/>
              <w:spacing w:after="0" w:line="203" w:lineRule="exact"/>
              <w:rPr>
                <w:sz w:val="20"/>
                <w:szCs w:val="20"/>
                <w:color w:val="auto"/>
              </w:rPr>
            </w:pPr>
            <w:r>
              <w:rPr>
                <w:rFonts w:ascii="Times New Roman" w:cs="Times New Roman" w:eastAsia="Times New Roman" w:hAnsi="Times New Roman"/>
                <w:sz w:val="15"/>
                <w:szCs w:val="15"/>
                <w:color w:val="auto"/>
              </w:rPr>
              <w:t>Richard Bennett**</w:t>
            </w:r>
            <w:r>
              <w:rPr>
                <w:rFonts w:ascii="Times New Roman" w:cs="Times New Roman" w:eastAsia="Times New Roman" w:hAnsi="Times New Roman"/>
                <w:sz w:val="23"/>
                <w:szCs w:val="23"/>
                <w:color w:val="auto"/>
                <w:vertAlign w:val="superscript"/>
              </w:rPr>
              <w:t>‡</w:t>
            </w:r>
          </w:p>
        </w:tc>
        <w:tc>
          <w:tcPr>
            <w:tcW w:w="3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admitted in England and Wales</w:t>
            </w:r>
          </w:p>
        </w:tc>
        <w:tc>
          <w:tcPr>
            <w:tcW w:w="0" w:type="dxa"/>
            <w:vAlign w:val="bottom"/>
          </w:tcPr>
          <w:p>
            <w:pPr>
              <w:spacing w:after="0"/>
              <w:rPr>
                <w:sz w:val="1"/>
                <w:szCs w:val="1"/>
                <w:color w:val="auto"/>
              </w:rPr>
            </w:pPr>
          </w:p>
        </w:tc>
      </w:tr>
      <w:tr>
        <w:trPr>
          <w:trHeight w:val="355"/>
        </w:trPr>
        <w:tc>
          <w:tcPr>
            <w:tcW w:w="3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ogier.com</w:t>
            </w: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Cecilia Li</w:t>
            </w:r>
          </w:p>
        </w:tc>
        <w:tc>
          <w:tcPr>
            <w:tcW w:w="22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James Bergstrom</w:t>
            </w:r>
            <w:r>
              <w:rPr>
                <w:rFonts w:ascii="Times New Roman" w:cs="Times New Roman" w:eastAsia="Times New Roman" w:hAnsi="Times New Roman"/>
                <w:sz w:val="26"/>
                <w:szCs w:val="26"/>
                <w:color w:val="auto"/>
                <w:vertAlign w:val="superscript"/>
              </w:rPr>
              <w:t>‡</w:t>
            </w:r>
          </w:p>
        </w:tc>
        <w:tc>
          <w:tcPr>
            <w:tcW w:w="3380" w:type="dxa"/>
            <w:vAlign w:val="bottom"/>
          </w:tcPr>
          <w:p>
            <w:pPr>
              <w:ind w:left="460"/>
              <w:spacing w:after="0"/>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not ordinarily resident in Hong Kong</w:t>
            </w:r>
          </w:p>
        </w:tc>
        <w:tc>
          <w:tcPr>
            <w:tcW w:w="0" w:type="dxa"/>
            <w:vAlign w:val="bottom"/>
          </w:tcPr>
          <w:p>
            <w:pPr>
              <w:spacing w:after="0"/>
              <w:rPr>
                <w:sz w:val="1"/>
                <w:szCs w:val="1"/>
                <w:color w:val="auto"/>
              </w:rPr>
            </w:pPr>
          </w:p>
        </w:tc>
      </w:tr>
      <w:tr>
        <w:trPr>
          <w:trHeight w:val="333"/>
        </w:trPr>
        <w:tc>
          <w:tcPr>
            <w:tcW w:w="36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2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purposes of giving this opinion, we have examined originals, copies, or drafts of the following documents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the Company dated 8 March 2024 issued by the Registrar of Companies of the Cayman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amended and restated memorandum and articles of association of the Company as adopted by a special resolution passed on 8 September 2026;</w:t>
      </w:r>
    </w:p>
    <w:p>
      <w:pPr>
        <w:spacing w:after="0" w:line="157"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written resolutions of the shareholders of the Company dated 16 October 2026 (together with item (b) above, the </w:t>
      </w:r>
      <w:r>
        <w:rPr>
          <w:rFonts w:ascii="Times New Roman" w:cs="Times New Roman" w:eastAsia="Times New Roman" w:hAnsi="Times New Roman"/>
          <w:sz w:val="18"/>
          <w:szCs w:val="18"/>
          <w:b w:val="1"/>
          <w:bCs w:val="1"/>
          <w:color w:val="auto"/>
        </w:rPr>
        <w:t>Memorandum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good standing dated 22 October 2026 (the </w:t>
      </w: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issued by the Registrar in respect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register of directors of the Company as provided to us on 2 September 2026 (the </w:t>
      </w:r>
      <w:r>
        <w:rPr>
          <w:rFonts w:ascii="Times New Roman" w:cs="Times New Roman" w:eastAsia="Times New Roman" w:hAnsi="Times New Roman"/>
          <w:sz w:val="18"/>
          <w:szCs w:val="18"/>
          <w:b w:val="1"/>
          <w:bCs w:val="1"/>
          <w:color w:val="auto"/>
        </w:rPr>
        <w:t>ROD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copies of the shareholder list of the Company as provided to us on 20 October 2026 showing the total issued shares of the Company as at 16 October 2026 (the </w:t>
      </w:r>
      <w:r>
        <w:rPr>
          <w:rFonts w:ascii="Times New Roman" w:cs="Times New Roman" w:eastAsia="Times New Roman" w:hAnsi="Times New Roman"/>
          <w:sz w:val="18"/>
          <w:szCs w:val="18"/>
          <w:b w:val="1"/>
          <w:bCs w:val="1"/>
          <w:color w:val="auto"/>
        </w:rPr>
        <w:t>ROM</w:t>
      </w:r>
      <w:r>
        <w:rPr>
          <w:rFonts w:ascii="Times New Roman" w:cs="Times New Roman" w:eastAsia="Times New Roman" w:hAnsi="Times New Roman"/>
          <w:sz w:val="18"/>
          <w:szCs w:val="18"/>
          <w:color w:val="auto"/>
        </w:rPr>
        <w:t xml:space="preserve">, and together with the ROD, the </w:t>
      </w:r>
      <w:r>
        <w:rPr>
          <w:rFonts w:ascii="Times New Roman" w:cs="Times New Roman" w:eastAsia="Times New Roman" w:hAnsi="Times New Roman"/>
          <w:sz w:val="18"/>
          <w:szCs w:val="18"/>
          <w:b w:val="1"/>
          <w:bCs w:val="1"/>
          <w:color w:val="auto"/>
        </w:rPr>
        <w:t>Registers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written resolutions of all of the directors of the Company dated 23 October 2026, approving the Company’s filing of the Prospectus Supplement, entering into the Agreement and issuance of the Offer Shares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from a director of the Company dated 23 October 2026 as to certain matters of facts (the </w:t>
      </w:r>
      <w:r>
        <w:rPr>
          <w:rFonts w:ascii="Times New Roman" w:cs="Times New Roman" w:eastAsia="Times New Roman" w:hAnsi="Times New Roman"/>
          <w:sz w:val="18"/>
          <w:szCs w:val="18"/>
          <w:b w:val="1"/>
          <w:bCs w:val="1"/>
          <w:color w:val="auto"/>
        </w:rPr>
        <w:t>Director’s Certificate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1"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6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original documents examined by us are authentic and complete;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 documents examined by us (whether in facsimile, electronic or other form) conform to the originals and those originals are authentic and complete;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seals, dates, stamps and markings (whether on original or copy documents) are genuine;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29" w:lineRule="exact"/>
        <w:rPr>
          <w:sz w:val="20"/>
          <w:szCs w:val="20"/>
          <w:color w:val="auto"/>
        </w:rPr>
      </w:pPr>
    </w:p>
    <w:p>
      <w:pPr>
        <w:ind w:left="1300" w:right="2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Good Standing Certificate, the Registers, the Agreement and the Director’s Certificate is accurate, complete and up-to-date (as the case may be) as at the date of this opinion;</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provided to us are in full force and effect and have not been amended, varied, supplemented or revoked in any respect;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copies of the Registration Statement and the Prospectus Supplement are true and correct copies and the Registration Statement and the Prospectus Supplement, conform in every material respect to the latest drafts of the same produced to us and, where the Registration Statement and the Prospectus Supplement have been provided to us in successive drafts marked-up to indicate changes to such documents, all such changes have been so indicated;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Resolutions remain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transactions as contemplated therein and in the Agreement, and no director has a financial interest in or other relationship to a party of the transactions contemplated by the Board Resolutions and the Agreement which has not been properly disclosed in the Board Resolutions;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the Offer Shares by the Company, and the Company’s incurrence and performance of its obligations thereunder or in respect thereof (including, without limitation, its obligations under any related agreement, indenture or supplement thereto) in accordance with the terms thereof will not violate the Memorandum and Articles nor any applicable law, regulation, order or decree in the Cayman Islands;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invitation has been or will be made by or on behalf of the Company to the public in the Cayman Islands to subscribe for any shares of the Company and none of the shares have been offered or issued to residents of the Cayman Islands;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issue of the Offer Shares, the Company will receive consideration for the full issue price thereof which shall be equal to at least the par value thereof;</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after the allotment and issuance of the Offer Shares will be, able to pay its liabilities as they fall due;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provision of the law of any jurisdiction, other than the Cayman Islands, which would have any implication in relation to the opinions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25"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basis of the examinations and assumptions referred to above and subject to the limitations and qualifications set forth in paragraph 4 below, we are of the opinion that:</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status</w:t>
      </w:r>
    </w:p>
    <w:p>
      <w:pPr>
        <w:spacing w:after="0" w:line="229" w:lineRule="exact"/>
        <w:rPr>
          <w:sz w:val="20"/>
          <w:szCs w:val="20"/>
          <w:color w:val="auto"/>
        </w:rPr>
      </w:pPr>
    </w:p>
    <w:p>
      <w:pPr>
        <w:ind w:left="1300" w:right="2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as an exempted company with limited liability and is validly existing and in good standing with the Registrar.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Authorised share capital</w:t>
      </w:r>
    </w:p>
    <w:p>
      <w:pPr>
        <w:spacing w:after="0" w:line="229" w:lineRule="exact"/>
        <w:rPr>
          <w:sz w:val="20"/>
          <w:szCs w:val="20"/>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authorised share capital of the Company is US$500,000 divided into 450,000,000 Class A ordinary shares of US$0.001 each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and 50,000,000 Class B ordinary shares of US$0.001 each (the</w:t>
      </w:r>
      <w:r>
        <w:rPr>
          <w:rFonts w:ascii="Times New Roman" w:cs="Times New Roman" w:eastAsia="Times New Roman" w:hAnsi="Times New Roman"/>
          <w:sz w:val="18"/>
          <w:szCs w:val="18"/>
          <w:b w:val="1"/>
          <w:bCs w:val="1"/>
          <w:color w:val="auto"/>
        </w:rPr>
        <w:t xml:space="preserve"> Class B Ordinary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Corporate authorisation</w:t>
      </w:r>
    </w:p>
    <w:p>
      <w:pPr>
        <w:spacing w:after="0" w:line="229"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requisite corporate action to authorise the issuance and sale of the Offer Shares.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Valid issuance of Offer Shares</w:t>
      </w:r>
    </w:p>
    <w:p>
      <w:pPr>
        <w:spacing w:after="0" w:line="229"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Shares have been duly authorised by the board of directors of the Company for issue and when: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of the Memorandum and Articles, the Agreement and the Board Resolution have been satisfied;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payment of consideration as specified in the Agreement (being not be less than the aggregate par value of the Offer Share) has been received by the Company;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issuance of Offer Shares have been duly registered in the Company’s register of members as fully paid shares,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Offer Shares will be validly issued, fully paid and non-assessable.</w:t>
      </w:r>
    </w:p>
    <w:p>
      <w:pPr>
        <w:spacing w:after="0" w:line="221"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and Qualifications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We offer no opinion:</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this opinion expressly provides otherwise, as to the commercial terms of, or the validity, enforceability or effect of the Documents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whether the acceptance, execution or performance of the Company’s obligations under the Documents will result in the breach of or infringe any other agreement, deed or document (other than the Memorandum and Articles) entered into by or binding on the Company.</w:t>
      </w:r>
    </w:p>
    <w:p>
      <w:pPr>
        <w:spacing w:after="0" w:line="158"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Under the Companies Act (Revised)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of the Cayman Islands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7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color w:val="auto"/>
        </w:rPr>
        <w:t xml:space="preserve">In good standing </w:t>
      </w:r>
      <w:r>
        <w:rPr>
          <w:rFonts w:ascii="Times New Roman" w:cs="Times New Roman" w:eastAsia="Times New Roman" w:hAnsi="Times New Roman"/>
          <w:sz w:val="18"/>
          <w:szCs w:val="18"/>
          <w:color w:val="auto"/>
        </w:rPr>
        <w:t>means only that as of the date of this opinion, the Company is up-to-date with the filing of its annual returns and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fees with the Registrar. We have made no enquiries into the Company’s good standing with respect to any filings or payment of fees, or both, that it may be required to make under the laws of the Cayman Islands other than the Companies Act.</w:t>
      </w:r>
    </w:p>
    <w:p>
      <w:pPr>
        <w:spacing w:after="0" w:line="171"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of this opinion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This opinion is:</w:t>
      </w:r>
    </w:p>
    <w:p>
      <w:pPr>
        <w:spacing w:after="0" w:line="225"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governed by, and shall be construed in accordance with, the laws of the Cayman Islands;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 the matters expressly stated in it;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Unless otherwise indicated, a reference to any specific Cayman Islands legislation is a reference to that legislation as amended to, and as in force at, the date of this opinion.</w:t>
      </w:r>
    </w:p>
    <w:p>
      <w:pPr>
        <w:spacing w:after="0" w:line="158"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We hereby consent to the filing of this opinion as an exhibit to the Prospectus Supplement and to the reference to our firm under the headings “Legal Matters” of the Prospectus Supplement and as Exhibit 5.1 to the Company’s Report of Foreign Private Issuer on Form 6-K. In giving such consent, we do not believe that we are “experts” within the meaning of such term used in the Securities Act or the rules and regulations of the Commission issued thereunder with respect to any part of the Prospectus Supplement, including this opinion as an exhibit or otherwise.</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This opinion may be used only in connection with the offer and sale of the Offer Shares and while the Registration Statement and the Prospectus Supplement are effective.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85875" cy="5746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58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1."/>
      <w:numFmt w:val="decimal"/>
      <w:start w:val="2"/>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1)"/>
      <w:numFmt w:val="lowerLetter"/>
      <w:start w:val="2"/>
    </w:lvl>
    <w:lvl w:ilvl="1">
      <w:lvlJc w:val="left"/>
      <w:lvlText w:val="(%2)"/>
      <w:numFmt w:val="lowerRoman"/>
      <w:start w:val="1"/>
    </w:lvl>
  </w:abstractNum>
  <w:abstractNum w:abstractNumId="4">
    <w:nsid w:val="2901D82"/>
    <w:multiLevelType w:val="hybridMultilevel"/>
    <w:lvl w:ilvl="0">
      <w:lvlJc w:val="left"/>
      <w:lvlText w:val="%1"/>
      <w:numFmt w:val="lowerLetter"/>
      <w:start w:val="1"/>
    </w:lvl>
    <w:lvl w:ilvl="1">
      <w:lvlJc w:val="left"/>
      <w:lvlText w:val="(%2)"/>
      <w:numFmt w:val="lowerRoman"/>
      <w:start w:val="6"/>
    </w:lvl>
  </w:abstractNum>
  <w:abstractNum w:abstractNumId="5">
    <w:nsid w:val="3A95F874"/>
    <w:multiLevelType w:val="hybridMultilevel"/>
    <w:lvl w:ilvl="0">
      <w:lvlJc w:val="left"/>
      <w:lvlText w:val="(%1)"/>
      <w:numFmt w:val="lowerLetter"/>
      <w:start w:val="3"/>
    </w:lvl>
    <w:lvl w:ilvl="1">
      <w:lvlJc w:val="left"/>
      <w:lvlText w:val="%2"/>
      <w:numFmt w:val="lowerRoman"/>
      <w:start w:val="1"/>
    </w:lvl>
  </w:abstractNum>
  <w:abstractNum w:abstractNumId="6">
    <w:nsid w:val="8138641"/>
    <w:multiLevelType w:val="hybridMultilevel"/>
    <w:lvl w:ilvl="0">
      <w:lvlJc w:val="left"/>
      <w:lvlText w:val="%1"/>
      <w:numFmt w:val="decimal"/>
      <w:start w:val="1"/>
    </w:lvl>
    <w:lvl w:ilvl="1">
      <w:lvlJc w:val="left"/>
      <w:lvlText w:val="(%2)"/>
      <w:numFmt w:val="lowerLetter"/>
      <w:start w:val="4"/>
    </w:lvl>
  </w:abstractNum>
  <w:abstractNum w:abstractNumId="7">
    <w:nsid w:val="1E7FF521"/>
    <w:multiLevelType w:val="hybridMultilevel"/>
    <w:lvl w:ilvl="0">
      <w:lvlJc w:val="left"/>
      <w:lvlText w:val="%1."/>
      <w:numFmt w:val="decimal"/>
      <w:start w:val="3"/>
    </w:lvl>
    <w:lvl w:ilvl="1">
      <w:lvlJc w:val="left"/>
      <w:lvlText w:val="(%2)"/>
      <w:numFmt w:val="lowerLetter"/>
      <w:start w:val="1"/>
    </w:lvl>
  </w:abstractNum>
  <w:abstractNum w:abstractNumId="8">
    <w:nsid w:val="7C3DBD3D"/>
    <w:multiLevelType w:val="hybridMultilevel"/>
    <w:lvl w:ilvl="0">
      <w:lvlJc w:val="left"/>
      <w:lvlText w:val="(%1)"/>
      <w:numFmt w:val="lowerLetter"/>
      <w:start w:val="4"/>
    </w:lvl>
  </w:abstractNum>
  <w:abstractNum w:abstractNumId="9">
    <w:nsid w:val="737B8DDC"/>
    <w:multiLevelType w:val="hybridMultilevel"/>
    <w:lvl w:ilvl="0">
      <w:lvlJc w:val="left"/>
      <w:lvlText w:val="(%1)"/>
      <w:numFmt w:val="lowerLetter"/>
      <w:start w:val="8"/>
    </w:lvl>
  </w:abstractNum>
  <w:abstractNum w:abstractNumId="10">
    <w:nsid w:val="6CEAF087"/>
    <w:multiLevelType w:val="hybridMultilevel"/>
    <w:lvl w:ilvl="0">
      <w:lvlJc w:val="left"/>
      <w:lvlText w:val="(%1)"/>
      <w:numFmt w:val="lowerLetter"/>
      <w:start w:val="11"/>
    </w:lvl>
  </w:abstractNum>
  <w:abstractNum w:abstractNumId="11">
    <w:nsid w:val="22221A70"/>
    <w:multiLevelType w:val="hybridMultilevel"/>
    <w:lvl w:ilvl="0">
      <w:lvlJc w:val="left"/>
      <w:lvlText w:val="(%1)"/>
      <w:numFmt w:val="lowerLetter"/>
      <w:start w:val="14"/>
    </w:lvl>
  </w:abstractNum>
  <w:abstractNum w:abstractNumId="12">
    <w:nsid w:val="4516DDE9"/>
    <w:multiLevelType w:val="hybridMultilevel"/>
    <w:lvl w:ilvl="0">
      <w:lvlJc w:val="left"/>
      <w:lvlText w:val="(%1)"/>
      <w:numFmt w:val="lowerLetter"/>
      <w:start w:val="17"/>
    </w:lvl>
  </w:abstractNum>
  <w:abstractNum w:abstractNumId="13">
    <w:nsid w:val="3006C83E"/>
    <w:multiLevelType w:val="hybridMultilevel"/>
    <w:lvl w:ilvl="0">
      <w:lvlJc w:val="left"/>
      <w:lvlText w:val="(%1)"/>
      <w:numFmt w:val="lowerLetter"/>
      <w:start w:val="21"/>
    </w:lvl>
  </w:abstractNum>
  <w:abstractNum w:abstractNumId="14">
    <w:nsid w:val="614FD4A1"/>
    <w:multiLevelType w:val="hybridMultilevel"/>
    <w:lvl w:ilvl="0">
      <w:lvlJc w:val="left"/>
      <w:lvlText w:val="(%1)"/>
      <w:numFmt w:val="lowerLetter"/>
      <w:start w:val="24"/>
    </w:lvl>
  </w:abstractNum>
  <w:abstractNum w:abstractNumId="15">
    <w:nsid w:val="419AC241"/>
    <w:multiLevelType w:val="hybridMultilevel"/>
    <w:lvl w:ilvl="0">
      <w:lvlJc w:val="left"/>
      <w:lvlText w:val="(%1)"/>
      <w:numFmt w:val="lowerLetter"/>
      <w:start w:val="26"/>
    </w:lvl>
  </w:abstractNum>
  <w:abstractNum w:abstractNumId="16">
    <w:nsid w:val="5577F8E1"/>
    <w:multiLevelType w:val="hybridMultilevel"/>
    <w:lvl w:ilvl="0">
      <w:lvlJc w:val="left"/>
      <w:lvlText w:val="(%1)"/>
      <w:numFmt w:val="lowerLetter"/>
      <w:start w:val="27"/>
    </w:lvl>
  </w:abstractNum>
  <w:abstractNum w:abstractNumId="17">
    <w:nsid w:val="440BADFC"/>
    <w:multiLevelType w:val="hybridMultilevel"/>
    <w:lvl w:ilvl="0">
      <w:lvlJc w:val="left"/>
      <w:lvlText w:val="%1"/>
      <w:numFmt w:val="lowerLetter"/>
      <w:start w:val="1"/>
    </w:lvl>
    <w:lvl w:ilvl="1">
      <w:lvlJc w:val="left"/>
      <w:lvlText w:val="(%2)"/>
      <w:numFmt w:val="lowerLetter"/>
      <w:start w:val="31"/>
    </w:lvl>
  </w:abstractNum>
  <w:abstractNum w:abstractNumId="18">
    <w:nsid w:val="5072367"/>
    <w:multiLevelType w:val="hybridMultilevel"/>
    <w:lvl w:ilvl="0">
      <w:lvlJc w:val="left"/>
      <w:lvlText w:val="(%1)"/>
      <w:numFmt w:val="lowerLetter"/>
      <w:start w:val="61"/>
    </w:lvl>
    <w:lvl w:ilvl="1">
      <w:lvlJc w:val="left"/>
      <w:lvlText w:val="(%2)"/>
      <w:numFmt w:val="lowerLetter"/>
      <w:start w:val="33"/>
    </w:lvl>
  </w:abstractNum>
  <w:abstractNum w:abstractNumId="19">
    <w:nsid w:val="3804823E"/>
    <w:multiLevelType w:val="hybridMultilevel"/>
    <w:lvl w:ilvl="0">
      <w:lvlJc w:val="left"/>
      <w:lvlText w:val="(%1)"/>
      <w:numFmt w:val="lowerLetter"/>
      <w:start w:val="36"/>
    </w:lvl>
  </w:abstractNum>
  <w:abstractNum w:abstractNumId="20">
    <w:nsid w:val="77465F01"/>
    <w:multiLevelType w:val="hybridMultilevel"/>
    <w:lvl w:ilvl="0">
      <w:lvlJc w:val="left"/>
      <w:lvlText w:val="%1"/>
      <w:numFmt w:val="lowerLetter"/>
      <w:start w:val="1"/>
    </w:lvl>
    <w:lvl w:ilvl="1">
      <w:lvlJc w:val="left"/>
      <w:lvlText w:val="(%2)"/>
      <w:numFmt w:val="lowerLetter"/>
      <w:start w:val="40"/>
    </w:lvl>
  </w:abstractNum>
  <w:abstractNum w:abstractNumId="21">
    <w:nsid w:val="7724C67E"/>
    <w:multiLevelType w:val="hybridMultilevel"/>
    <w:lvl w:ilvl="0">
      <w:lvlJc w:val="left"/>
      <w:lvlText w:val="(%1)"/>
      <w:numFmt w:val="lowerLetter"/>
      <w:start w:val="61"/>
    </w:lvl>
    <w:lvl w:ilvl="1">
      <w:lvlJc w:val="left"/>
      <w:lvlText w:val="(%2)"/>
      <w:numFmt w:val="lowerLetter"/>
      <w:start w:val="41"/>
    </w:lvl>
  </w:abstractNum>
  <w:abstractNum w:abstractNumId="22">
    <w:nsid w:val="5C482A97"/>
    <w:multiLevelType w:val="hybridMultilevel"/>
    <w:lvl w:ilvl="0">
      <w:lvlJc w:val="left"/>
      <w:lvlText w:val="%1"/>
      <w:numFmt w:val="decimal"/>
      <w:start w:val="1"/>
    </w:lvl>
    <w:lvl w:ilvl="1">
      <w:lvlJc w:val="left"/>
      <w:lvlText w:val="(%2)"/>
      <w:numFmt w:val="lowerLetter"/>
      <w:start w:val="43"/>
    </w:lvl>
  </w:abstractNum>
  <w:abstractNum w:abstractNumId="23">
    <w:nsid w:val="2463B9EA"/>
    <w:multiLevelType w:val="hybridMultilevel"/>
    <w:lvl w:ilvl="0">
      <w:lvlJc w:val="left"/>
      <w:lvlText w:val="%1."/>
      <w:numFmt w:val="decimal"/>
      <w:start w:val="4"/>
    </w:lvl>
    <w:lvl w:ilvl="1">
      <w:lvlJc w:val="left"/>
      <w:lvlText w:val="(%2)"/>
      <w:numFmt w:val="lowerLetter"/>
      <w:start w:val="1"/>
    </w:lvl>
  </w:abstractNum>
  <w:abstractNum w:abstractNumId="24">
    <w:nsid w:val="5E884ADC"/>
    <w:multiLevelType w:val="hybridMultilevel"/>
    <w:lvl w:ilvl="0">
      <w:lvlJc w:val="left"/>
      <w:lvlText w:val="(%1)"/>
      <w:numFmt w:val="lowerLetter"/>
      <w:start w:val="2"/>
    </w:lvl>
  </w:abstractNum>
  <w:abstractNum w:abstractNumId="25">
    <w:nsid w:val="51EAD36B"/>
    <w:multiLevelType w:val="hybridMultilevel"/>
    <w:lvl w:ilvl="0">
      <w:lvlJc w:val="left"/>
      <w:lvlText w:val="(%1)"/>
      <w:numFmt w:val="lowerLetter"/>
      <w:start w:val="8"/>
    </w:lvl>
  </w:abstractNum>
  <w:abstractNum w:abstractNumId="26">
    <w:nsid w:val="2D517796"/>
    <w:multiLevelType w:val="hybridMultilevel"/>
    <w:lvl w:ilvl="0">
      <w:lvlJc w:val="left"/>
      <w:lvlText w:val="(%1)"/>
      <w:numFmt w:val="lowerLetter"/>
      <w:start w:val="12"/>
    </w:lvl>
  </w:abstractNum>
  <w:abstractNum w:abstractNumId="27">
    <w:nsid w:val="580BD78F"/>
    <w:multiLevelType w:val="hybridMultilevel"/>
    <w:lvl w:ilvl="0">
      <w:lvlJc w:val="left"/>
      <w:lvlText w:val="(%1)"/>
      <w:numFmt w:val="lowerLetter"/>
      <w:start w:val="15"/>
    </w:lvl>
  </w:abstractNum>
  <w:abstractNum w:abstractNumId="28">
    <w:nsid w:val="153EA43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3"/>
    </w:lvl>
  </w:abstractNum>
  <w:abstractNum w:abstractNumId="29">
    <w:nsid w:val="3855585C"/>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0">
    <w:nsid w:val="70A64E2A"/>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31">
    <w:nsid w:val="6A2342EC"/>
    <w:multiLevelType w:val="hybridMultilevel"/>
    <w:lvl w:ilvl="0">
      <w:lvlJc w:val="left"/>
      <w:lvlText w:val="(%1)"/>
      <w:numFmt w:val="lowerLetter"/>
      <w:start w:val="2"/>
    </w:lvl>
    <w:lvl w:ilvl="1">
      <w:lvlJc w:val="left"/>
      <w:lvlText w:val="(%2)"/>
      <w:numFmt w:val="lowerRoman"/>
      <w:start w:val="1"/>
    </w:lvl>
  </w:abstractNum>
  <w:abstractNum w:abstractNumId="32">
    <w:nsid w:val="2A487CB0"/>
    <w:multiLevelType w:val="hybridMultilevel"/>
    <w:lvl w:ilvl="0">
      <w:lvlJc w:val="left"/>
      <w:lvlText w:val="(%1)"/>
      <w:numFmt w:val="lowerLetter"/>
      <w:start w:val="5"/>
    </w:lvl>
  </w:abstractNum>
  <w:abstractNum w:abstractNumId="33">
    <w:nsid w:val="1D4ED43B"/>
    <w:multiLevelType w:val="hybridMultilevel"/>
    <w:lvl w:ilvl="0">
      <w:lvlJc w:val="left"/>
      <w:lvlText w:val="%1."/>
      <w:numFmt w:val="decimal"/>
      <w:start w:val="7"/>
    </w:lvl>
    <w:lvl w:ilvl="1">
      <w:lvlJc w:val="left"/>
      <w:lvlText w:val="(%2)"/>
      <w:numFmt w:val="lowerLetter"/>
      <w:start w:val="1"/>
    </w:lvl>
  </w:abstractNum>
  <w:abstractNum w:abstractNumId="34">
    <w:nsid w:val="725A06FB"/>
    <w:multiLevelType w:val="hybridMultilevel"/>
    <w:lvl w:ilvl="0">
      <w:lvlJc w:val="left"/>
      <w:lvlText w:val="%1"/>
      <w:numFmt w:val="decimal"/>
      <w:start w:val="1"/>
    </w:lvl>
    <w:lvl w:ilvl="1">
      <w:lvlJc w:val="left"/>
      <w:lvlText w:val="(%2)"/>
      <w:numFmt w:val="lowerLetter"/>
      <w:start w:val="4"/>
    </w:lvl>
  </w:abstractNum>
  <w:abstractNum w:abstractNumId="35">
    <w:nsid w:val="2CD89A32"/>
    <w:multiLevelType w:val="hybridMultilevel"/>
    <w:lvl w:ilvl="0">
      <w:lvlJc w:val="left"/>
      <w:lvlText w:val="%1."/>
      <w:numFmt w:val="decimal"/>
      <w:start w:val="8"/>
    </w:lvl>
    <w:lvl w:ilvl="1">
      <w:lvlJc w:val="left"/>
      <w:lvlText w:val="(%2)"/>
      <w:numFmt w:val="lowerLetter"/>
      <w:start w:val="1"/>
    </w:lvl>
  </w:abstractNum>
  <w:abstractNum w:abstractNumId="36">
    <w:nsid w:val="57E4CCAF"/>
    <w:multiLevelType w:val="hybridMultilevel"/>
    <w:lvl w:ilvl="0">
      <w:lvlJc w:val="left"/>
      <w:lvlText w:val="%1"/>
      <w:numFmt w:val="decimal"/>
      <w:start w:val="1"/>
    </w:lvl>
    <w:lvl w:ilvl="1">
      <w:lvlJc w:val="left"/>
      <w:lvlText w:val="(%2)"/>
      <w:numFmt w:val="lowerLetter"/>
      <w:start w:val="2"/>
    </w:lvl>
  </w:abstractNum>
  <w:abstractNum w:abstractNumId="37">
    <w:nsid w:val="7A6D8D3C"/>
    <w:multiLevelType w:val="hybridMultilevel"/>
    <w:lvl w:ilvl="0">
      <w:lvlJc w:val="left"/>
      <w:lvlText w:val="%1."/>
      <w:numFmt w:val="decimal"/>
      <w:start w:val="9"/>
    </w:lvl>
    <w:lvl w:ilvl="1">
      <w:lvlJc w:val="left"/>
      <w:lvlText w:val="%2"/>
      <w:numFmt w:val="lowerLetter"/>
      <w:start w:val="1"/>
    </w:lvl>
  </w:abstractNum>
  <w:abstractNum w:abstractNumId="38">
    <w:nsid w:val="4B588F54"/>
    <w:multiLevelType w:val="hybridMultilevel"/>
    <w:lvl w:ilvl="0">
      <w:lvlJc w:val="left"/>
      <w:lvlText w:val="%1."/>
      <w:numFmt w:val="decimal"/>
      <w:start w:val="12"/>
    </w:lvl>
  </w:abstractNum>
  <w:abstractNum w:abstractNumId="39">
    <w:nsid w:val="542289EC"/>
    <w:multiLevelType w:val="hybridMultilevel"/>
    <w:lvl w:ilvl="0">
      <w:lvlJc w:val="left"/>
      <w:lvlText w:val="1"/>
      <w:numFmt w:val="bullet"/>
      <w:start w:val="1"/>
    </w:lvl>
    <w:lvl w:ilvl="1">
      <w:lvlJc w:val="left"/>
      <w:lvlText w:val="(%2)"/>
      <w:numFmt w:val="lowerLetter"/>
      <w:start w:val="1"/>
    </w:lvl>
  </w:abstractNum>
  <w:abstractNum w:abstractNumId="40">
    <w:nsid w:val="6DE91B18"/>
    <w:multiLevelType w:val="hybridMultilevel"/>
    <w:lvl w:ilvl="0">
      <w:lvlJc w:val="left"/>
      <w:lvlText w:val="2"/>
      <w:numFmt w:val="bullet"/>
      <w:start w:val="1"/>
    </w:lvl>
    <w:lvl w:ilvl="1">
      <w:lvlJc w:val="left"/>
      <w:lvlText w:val="(%2)"/>
      <w:numFmt w:val="lowerLetter"/>
      <w:start w:val="1"/>
    </w:lvl>
  </w:abstractNum>
  <w:abstractNum w:abstractNumId="41">
    <w:nsid w:val="38437FDB"/>
    <w:multiLevelType w:val="hybridMultilevel"/>
    <w:lvl w:ilvl="0">
      <w:lvlJc w:val="left"/>
      <w:lvlText w:val="(%1)"/>
      <w:numFmt w:val="lowerLetter"/>
      <w:start w:val="4"/>
    </w:lvl>
  </w:abstractNum>
  <w:abstractNum w:abstractNumId="42">
    <w:nsid w:val="7644A45C"/>
    <w:multiLevelType w:val="hybridMultilevel"/>
    <w:lvl w:ilvl="0">
      <w:lvlJc w:val="left"/>
      <w:lvlText w:val="3"/>
      <w:numFmt w:val="bullet"/>
      <w:start w:val="1"/>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2"/>
    </w:lvl>
  </w:abstractNum>
  <w:abstractNum w:abstractNumId="45">
    <w:nsid w:val="579478FE"/>
    <w:multiLevelType w:val="hybridMultilevel"/>
    <w:lvl w:ilvl="0">
      <w:lvlJc w:val="left"/>
      <w:lvlText w:val="(%1)"/>
      <w:numFmt w:val="lowerLetter"/>
      <w:start w:val="3"/>
    </w:lvl>
  </w:abstractNum>
  <w:abstractNum w:abstractNumId="46">
    <w:nsid w:val="749ABB43"/>
    <w:multiLevelType w:val="hybridMultilevel"/>
    <w:lvl w:ilvl="0">
      <w:lvlJc w:val="left"/>
      <w:lvlText w:val="(%1)"/>
      <w:numFmt w:val="lowerLetter"/>
      <w:start w:val="4"/>
    </w:lvl>
    <w:lvl w:ilvl="1">
      <w:lvlJc w:val="left"/>
      <w:lvlText w:val="(%2)"/>
      <w:numFmt w:val="lowerRoman"/>
      <w:start w:val="1"/>
    </w:lvl>
  </w:abstractNum>
  <w:abstractNum w:abstractNumId="47">
    <w:nsid w:val="3DC240FB"/>
    <w:multiLevelType w:val="hybridMultilevel"/>
    <w:lvl w:ilvl="0">
      <w:lvlJc w:val="left"/>
      <w:lvlText w:val="4"/>
      <w:numFmt w:val="bullet"/>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lowerLetter"/>
      <w:start w:val="2"/>
    </w:lvl>
  </w:abstractNum>
  <w:abstractNum w:abstractNumId="50">
    <w:nsid w:val="75C6C33A"/>
    <w:multiLevelType w:val="hybridMultilevel"/>
    <w:lvl w:ilvl="0">
      <w:lvlJc w:val="left"/>
      <w:lvlText w:val="5"/>
      <w:numFmt w:val="bullet"/>
      <w:start w:val="1"/>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2026-10-26T05:05:27Z</dcterms:created>
  <dcterms:modified xsi:type="dcterms:W3CDTF">2026-10-26T05:05:27Z</dcterms:modified>
</cp:coreProperties>
</file>